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9A8E" w14:textId="29143FB9" w:rsidR="00121827" w:rsidRPr="006A658B" w:rsidRDefault="00633AEB" w:rsidP="00121827">
      <w:pPr>
        <w:rPr>
          <w:rFonts w:ascii="Century Gothic" w:hAnsi="Century Gothic"/>
          <w:color w:val="000000" w:themeColor="text1"/>
          <w:sz w:val="20"/>
          <w:szCs w:val="20"/>
        </w:rPr>
      </w:pPr>
      <w:r>
        <w:rPr>
          <w:rFonts w:ascii="Century Gothic" w:hAnsi="Century Gothic"/>
          <w:color w:val="000000" w:themeColor="text1"/>
          <w:sz w:val="20"/>
          <w:szCs w:val="20"/>
        </w:rPr>
        <w:t>6 December</w:t>
      </w:r>
      <w:r w:rsidR="0054101A">
        <w:rPr>
          <w:rFonts w:ascii="Century Gothic" w:hAnsi="Century Gothic"/>
          <w:color w:val="000000" w:themeColor="text1"/>
          <w:sz w:val="20"/>
          <w:szCs w:val="20"/>
        </w:rPr>
        <w:t xml:space="preserve"> </w:t>
      </w:r>
      <w:r w:rsidR="00121827" w:rsidRPr="006A658B">
        <w:rPr>
          <w:rFonts w:ascii="Century Gothic" w:hAnsi="Century Gothic"/>
          <w:color w:val="000000" w:themeColor="text1"/>
          <w:sz w:val="20"/>
          <w:szCs w:val="20"/>
        </w:rPr>
        <w:t>2024</w:t>
      </w:r>
    </w:p>
    <w:p w14:paraId="523C1872" w14:textId="184BF0CB" w:rsidR="00121827" w:rsidRDefault="00CD75B7" w:rsidP="00121827">
      <w:pPr>
        <w:spacing w:after="0"/>
        <w:rPr>
          <w:rFonts w:ascii="Century Gothic" w:hAnsi="Century Gothic"/>
          <w:color w:val="000000" w:themeColor="text1"/>
          <w:sz w:val="20"/>
          <w:szCs w:val="20"/>
        </w:rPr>
      </w:pPr>
      <w:r>
        <w:rPr>
          <w:rFonts w:ascii="Century Gothic" w:hAnsi="Century Gothic"/>
          <w:noProof/>
          <w:color w:val="000000" w:themeColor="text1"/>
          <w:sz w:val="20"/>
          <w:szCs w:val="20"/>
        </w:rPr>
        <w:t>Water Market Reform</w:t>
      </w:r>
      <w:r w:rsidR="0059460E">
        <w:rPr>
          <w:rFonts w:ascii="Century Gothic" w:hAnsi="Century Gothic"/>
          <w:noProof/>
          <w:color w:val="000000" w:themeColor="text1"/>
          <w:sz w:val="20"/>
          <w:szCs w:val="20"/>
        </w:rPr>
        <w:t xml:space="preserve"> Division</w:t>
      </w:r>
    </w:p>
    <w:p w14:paraId="3D17FD21" w14:textId="09695659" w:rsidR="00121827" w:rsidRPr="006A658B" w:rsidRDefault="00CD75B7" w:rsidP="00121827">
      <w:pPr>
        <w:rPr>
          <w:rFonts w:ascii="Century Gothic" w:hAnsi="Century Gothic"/>
          <w:color w:val="000000" w:themeColor="text1"/>
          <w:sz w:val="20"/>
          <w:szCs w:val="20"/>
        </w:rPr>
      </w:pPr>
      <w:hyperlink r:id="rId11" w:history="1">
        <w:r w:rsidRPr="00CD75B7">
          <w:rPr>
            <w:rStyle w:val="Hyperlink"/>
          </w:rPr>
          <w:t>water.markets@dcceew.gov.au</w:t>
        </w:r>
      </w:hyperlink>
      <w:r>
        <w:tab/>
      </w:r>
      <w:r w:rsidR="00121827">
        <w:rPr>
          <w:rFonts w:ascii="Century Gothic" w:hAnsi="Century Gothic"/>
          <w:color w:val="000000" w:themeColor="text1"/>
          <w:sz w:val="20"/>
          <w:szCs w:val="20"/>
        </w:rPr>
        <w:tab/>
      </w:r>
      <w:r w:rsidR="00121827">
        <w:rPr>
          <w:rFonts w:ascii="Century Gothic" w:hAnsi="Century Gothic"/>
          <w:color w:val="000000" w:themeColor="text1"/>
          <w:sz w:val="20"/>
          <w:szCs w:val="20"/>
        </w:rPr>
        <w:tab/>
      </w:r>
      <w:r w:rsidR="00121827">
        <w:rPr>
          <w:rFonts w:ascii="Century Gothic" w:hAnsi="Century Gothic"/>
          <w:color w:val="000000" w:themeColor="text1"/>
          <w:sz w:val="20"/>
          <w:szCs w:val="20"/>
        </w:rPr>
        <w:tab/>
      </w:r>
      <w:r w:rsidR="00121827">
        <w:rPr>
          <w:rFonts w:ascii="Century Gothic" w:hAnsi="Century Gothic"/>
          <w:color w:val="000000" w:themeColor="text1"/>
          <w:sz w:val="20"/>
          <w:szCs w:val="20"/>
        </w:rPr>
        <w:tab/>
      </w:r>
      <w:r w:rsidR="00121827">
        <w:rPr>
          <w:rFonts w:ascii="Century Gothic" w:hAnsi="Century Gothic"/>
          <w:color w:val="000000" w:themeColor="text1"/>
          <w:sz w:val="20"/>
          <w:szCs w:val="20"/>
        </w:rPr>
        <w:tab/>
        <w:t>Sent Via Electronic Mail</w:t>
      </w:r>
    </w:p>
    <w:p w14:paraId="6CF73ED0" w14:textId="77777777" w:rsidR="00F30E1F" w:rsidRPr="00F30E1F" w:rsidRDefault="00121827" w:rsidP="00593AF4">
      <w:pPr>
        <w:jc w:val="center"/>
        <w:rPr>
          <w:rFonts w:ascii="Century Gothic" w:hAnsi="Century Gothic"/>
          <w:b/>
          <w:bCs/>
          <w:color w:val="FF0000"/>
          <w:sz w:val="20"/>
          <w:szCs w:val="20"/>
        </w:rPr>
      </w:pPr>
      <w:r w:rsidRPr="00F30E1F">
        <w:rPr>
          <w:rFonts w:ascii="Century Gothic" w:hAnsi="Century Gothic"/>
          <w:b/>
          <w:bCs/>
          <w:color w:val="FF0000"/>
          <w:sz w:val="20"/>
          <w:szCs w:val="20"/>
        </w:rPr>
        <w:t xml:space="preserve">Re: </w:t>
      </w:r>
      <w:r w:rsidR="00F30E1F" w:rsidRPr="00F30E1F">
        <w:rPr>
          <w:rFonts w:ascii="Century Gothic" w:hAnsi="Century Gothic"/>
          <w:b/>
          <w:bCs/>
          <w:color w:val="FF0000"/>
          <w:sz w:val="20"/>
          <w:szCs w:val="20"/>
        </w:rPr>
        <w:t>DRAFT for Member Feedback</w:t>
      </w:r>
    </w:p>
    <w:p w14:paraId="5EF02EBF" w14:textId="03E7C182" w:rsidR="003F36F4" w:rsidRPr="00F30E1F" w:rsidRDefault="0090285E" w:rsidP="00593AF4">
      <w:pPr>
        <w:jc w:val="center"/>
        <w:rPr>
          <w:rFonts w:ascii="Century Gothic" w:hAnsi="Century Gothic"/>
          <w:color w:val="FF0000"/>
          <w:sz w:val="20"/>
          <w:szCs w:val="20"/>
        </w:rPr>
      </w:pPr>
      <w:r w:rsidRPr="00F30E1F">
        <w:rPr>
          <w:rFonts w:ascii="Century Gothic" w:hAnsi="Century Gothic"/>
          <w:b/>
          <w:bCs/>
          <w:color w:val="FF0000"/>
          <w:sz w:val="20"/>
          <w:szCs w:val="20"/>
        </w:rPr>
        <w:t>NIC s</w:t>
      </w:r>
      <w:r w:rsidR="00C826CB" w:rsidRPr="00F30E1F">
        <w:rPr>
          <w:rFonts w:ascii="Century Gothic" w:hAnsi="Century Gothic"/>
          <w:b/>
          <w:bCs/>
          <w:color w:val="FF0000"/>
          <w:sz w:val="20"/>
          <w:szCs w:val="20"/>
        </w:rPr>
        <w:t xml:space="preserve">ubmission on </w:t>
      </w:r>
      <w:r w:rsidRPr="00F30E1F">
        <w:rPr>
          <w:rFonts w:ascii="Century Gothic" w:hAnsi="Century Gothic"/>
          <w:b/>
          <w:bCs/>
          <w:color w:val="FF0000"/>
          <w:sz w:val="20"/>
          <w:szCs w:val="20"/>
        </w:rPr>
        <w:t>Water Markets Intermediaries Code and Statutory Trust Accounts Policy Position Paper</w:t>
      </w:r>
      <w:r w:rsidR="00C826CB" w:rsidRPr="00F30E1F">
        <w:rPr>
          <w:rFonts w:ascii="Century Gothic" w:hAnsi="Century Gothic"/>
          <w:b/>
          <w:bCs/>
          <w:color w:val="FF0000"/>
          <w:sz w:val="20"/>
          <w:szCs w:val="20"/>
        </w:rPr>
        <w:t xml:space="preserve"> </w:t>
      </w:r>
    </w:p>
    <w:p w14:paraId="5B8A4CEF" w14:textId="2A4A96BF" w:rsidR="00911EA3" w:rsidRDefault="00911EA3" w:rsidP="008E3D53">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Thank you for the opportunity to provide input into the Water Markets Intermediaries Code and Statutory Trust Accounts Policy Position Paper as part of the Water Reform Roadmap. </w:t>
      </w:r>
    </w:p>
    <w:p w14:paraId="308D22D6" w14:textId="47845283" w:rsidR="000D2E5B" w:rsidRDefault="001C42CD" w:rsidP="008E3D53">
      <w:pPr>
        <w:jc w:val="both"/>
        <w:rPr>
          <w:rFonts w:ascii="Century Gothic" w:hAnsi="Century Gothic"/>
          <w:color w:val="000000" w:themeColor="text1"/>
          <w:sz w:val="20"/>
          <w:szCs w:val="20"/>
        </w:rPr>
      </w:pPr>
      <w:r>
        <w:rPr>
          <w:rFonts w:ascii="Century Gothic" w:hAnsi="Century Gothic"/>
          <w:color w:val="000000" w:themeColor="text1"/>
          <w:sz w:val="20"/>
          <w:szCs w:val="20"/>
        </w:rPr>
        <w:t>NIC</w:t>
      </w:r>
      <w:r w:rsidR="00911EA3">
        <w:rPr>
          <w:rFonts w:ascii="Century Gothic" w:hAnsi="Century Gothic"/>
          <w:color w:val="000000" w:themeColor="text1"/>
          <w:sz w:val="20"/>
          <w:szCs w:val="20"/>
        </w:rPr>
        <w:t xml:space="preserve"> acknowledge</w:t>
      </w:r>
      <w:r>
        <w:rPr>
          <w:rFonts w:ascii="Century Gothic" w:hAnsi="Century Gothic"/>
          <w:color w:val="000000" w:themeColor="text1"/>
          <w:sz w:val="20"/>
          <w:szCs w:val="20"/>
        </w:rPr>
        <w:t>s</w:t>
      </w:r>
      <w:r w:rsidR="00911EA3">
        <w:rPr>
          <w:rFonts w:ascii="Century Gothic" w:hAnsi="Century Gothic"/>
          <w:color w:val="000000" w:themeColor="text1"/>
          <w:sz w:val="20"/>
          <w:szCs w:val="20"/>
        </w:rPr>
        <w:t xml:space="preserve"> the </w:t>
      </w:r>
      <w:r w:rsidR="000157B9">
        <w:rPr>
          <w:rFonts w:ascii="Century Gothic" w:hAnsi="Century Gothic"/>
          <w:color w:val="000000" w:themeColor="text1"/>
          <w:sz w:val="20"/>
          <w:szCs w:val="20"/>
        </w:rPr>
        <w:t xml:space="preserve">commitment of the </w:t>
      </w:r>
      <w:r w:rsidR="00395F3C">
        <w:rPr>
          <w:rFonts w:ascii="Century Gothic" w:hAnsi="Century Gothic"/>
          <w:color w:val="000000" w:themeColor="text1"/>
          <w:sz w:val="20"/>
          <w:szCs w:val="20"/>
        </w:rPr>
        <w:t>Water Market Reform team</w:t>
      </w:r>
      <w:r w:rsidR="000157B9">
        <w:rPr>
          <w:rFonts w:ascii="Century Gothic" w:hAnsi="Century Gothic"/>
          <w:color w:val="000000" w:themeColor="text1"/>
          <w:sz w:val="20"/>
          <w:szCs w:val="20"/>
        </w:rPr>
        <w:t xml:space="preserve"> to consider the feedback throughout the multiphase engagement. Whilst </w:t>
      </w:r>
      <w:r w:rsidR="000D2E5B">
        <w:rPr>
          <w:rFonts w:ascii="Century Gothic" w:hAnsi="Century Gothic"/>
          <w:color w:val="000000" w:themeColor="text1"/>
          <w:sz w:val="20"/>
          <w:szCs w:val="20"/>
        </w:rPr>
        <w:t>the process is resource intensive for stakeholders, the opportunity for engagement and feedback is critical to shape the detail of the water market reforms laid out by the Water Markets Roadmap and the Restoring our Rivers Act 2023</w:t>
      </w:r>
      <w:r w:rsidR="008A4096">
        <w:rPr>
          <w:rFonts w:ascii="Century Gothic" w:hAnsi="Century Gothic"/>
          <w:color w:val="000000" w:themeColor="text1"/>
          <w:sz w:val="20"/>
          <w:szCs w:val="20"/>
        </w:rPr>
        <w:t>,</w:t>
      </w:r>
      <w:r w:rsidR="000D2E5B">
        <w:rPr>
          <w:rFonts w:ascii="Century Gothic" w:hAnsi="Century Gothic"/>
          <w:color w:val="000000" w:themeColor="text1"/>
          <w:sz w:val="20"/>
          <w:szCs w:val="20"/>
        </w:rPr>
        <w:t xml:space="preserve"> and ensure it is fit for purpose and focused on the overall reform objectives.</w:t>
      </w:r>
    </w:p>
    <w:p w14:paraId="648A36C3" w14:textId="77777777" w:rsidR="005D64A8" w:rsidRPr="005D64A8" w:rsidRDefault="005D64A8" w:rsidP="005D64A8">
      <w:pPr>
        <w:jc w:val="both"/>
        <w:rPr>
          <w:rFonts w:ascii="Century Gothic" w:hAnsi="Century Gothic"/>
          <w:color w:val="000000" w:themeColor="text1"/>
          <w:sz w:val="20"/>
          <w:szCs w:val="20"/>
        </w:rPr>
      </w:pPr>
      <w:r w:rsidRPr="005D64A8">
        <w:rPr>
          <w:rFonts w:ascii="Century Gothic" w:hAnsi="Century Gothic"/>
          <w:color w:val="000000" w:themeColor="text1"/>
          <w:sz w:val="20"/>
          <w:szCs w:val="20"/>
        </w:rPr>
        <w:t>NIC and many other stakeholders, are increasingly concerned by the regulatory burden of this reform, particularly given its scale and pace. We are also concerned that the reform is going too far, and is becoming disproportionate to the problem at hand, and the size and extent of water markets. While market integrity, transparency and good governance are important – there is enormous risk of not striking the right balance for a proportionate policy response – particularly given the cost to comply and the assessment of the potential negative consequences. Under current proposals, these regulatory costs (set to be borne by both taxpayers and water users), as well as regulatory burdens, appear to far outweigh the benefits.</w:t>
      </w:r>
    </w:p>
    <w:p w14:paraId="6659900B" w14:textId="7B3E5367" w:rsidR="00911EA3" w:rsidRDefault="00CA63A6" w:rsidP="008E3D53">
      <w:pPr>
        <w:jc w:val="both"/>
        <w:rPr>
          <w:rFonts w:ascii="Century Gothic" w:hAnsi="Century Gothic"/>
          <w:color w:val="000000" w:themeColor="text1"/>
          <w:sz w:val="20"/>
          <w:szCs w:val="20"/>
        </w:rPr>
      </w:pPr>
      <w:r>
        <w:rPr>
          <w:rFonts w:ascii="Century Gothic" w:hAnsi="Century Gothic"/>
          <w:color w:val="000000" w:themeColor="text1"/>
          <w:sz w:val="20"/>
          <w:szCs w:val="20"/>
        </w:rPr>
        <w:t>As the Office of Impact Assessment states:</w:t>
      </w:r>
    </w:p>
    <w:p w14:paraId="06CEDE4B" w14:textId="77777777" w:rsidR="00CA63A6" w:rsidRPr="00CA63A6" w:rsidRDefault="00CA63A6" w:rsidP="00CA63A6">
      <w:pPr>
        <w:jc w:val="right"/>
        <w:rPr>
          <w:rFonts w:ascii="Century Gothic" w:hAnsi="Century Gothic"/>
          <w:color w:val="000000" w:themeColor="text1"/>
          <w:sz w:val="20"/>
          <w:szCs w:val="20"/>
        </w:rPr>
      </w:pPr>
      <w:r>
        <w:rPr>
          <w:rFonts w:ascii="Century Gothic" w:hAnsi="Century Gothic"/>
          <w:color w:val="000000" w:themeColor="text1"/>
          <w:sz w:val="20"/>
          <w:szCs w:val="20"/>
        </w:rPr>
        <w:t>“</w:t>
      </w:r>
      <w:r w:rsidRPr="00CA63A6">
        <w:rPr>
          <w:rFonts w:ascii="Century Gothic" w:hAnsi="Century Gothic"/>
          <w:color w:val="000000" w:themeColor="text1"/>
          <w:sz w:val="20"/>
          <w:szCs w:val="20"/>
        </w:rPr>
        <w:t>Impact analysis helps policymakers consider how proposals affect businesses, individuals and community organisations, as well as broader economic and other impacts.</w:t>
      </w:r>
    </w:p>
    <w:p w14:paraId="49329E97" w14:textId="2BCE7DAA" w:rsidR="00CA63A6" w:rsidRPr="00CA63A6" w:rsidRDefault="00CA63A6" w:rsidP="00CA63A6">
      <w:pPr>
        <w:jc w:val="right"/>
        <w:rPr>
          <w:rFonts w:ascii="Century Gothic" w:hAnsi="Century Gothic"/>
          <w:color w:val="000000" w:themeColor="text1"/>
          <w:sz w:val="20"/>
          <w:szCs w:val="20"/>
        </w:rPr>
      </w:pPr>
      <w:r w:rsidRPr="00CA63A6">
        <w:rPr>
          <w:rFonts w:ascii="Century Gothic" w:hAnsi="Century Gothic"/>
          <w:color w:val="000000" w:themeColor="text1"/>
          <w:sz w:val="20"/>
          <w:szCs w:val="20"/>
        </w:rPr>
        <w:t>Strong evidence-based impact analysis is a powerful tool when applied intentionally and consistently. The Australian Government’s Policy Impact Analysis Framework ensures that decision makers are supported with the necessary evidence base, and that policy options are well-designed, well-targeted and fit-for-purpose.</w:t>
      </w:r>
      <w:r>
        <w:rPr>
          <w:rFonts w:ascii="Century Gothic" w:hAnsi="Century Gothic"/>
          <w:color w:val="000000" w:themeColor="text1"/>
          <w:sz w:val="20"/>
          <w:szCs w:val="20"/>
        </w:rPr>
        <w:t>”</w:t>
      </w:r>
      <w:r>
        <w:rPr>
          <w:rStyle w:val="FootnoteReference"/>
          <w:rFonts w:ascii="Century Gothic" w:hAnsi="Century Gothic"/>
          <w:color w:val="000000" w:themeColor="text1"/>
          <w:sz w:val="20"/>
          <w:szCs w:val="20"/>
        </w:rPr>
        <w:footnoteReference w:id="2"/>
      </w:r>
    </w:p>
    <w:p w14:paraId="66A9384E" w14:textId="77777777" w:rsidR="00F31DAC" w:rsidRPr="005D64A8" w:rsidRDefault="00F31DAC" w:rsidP="00F31DAC">
      <w:pPr>
        <w:jc w:val="both"/>
        <w:rPr>
          <w:rFonts w:ascii="Century Gothic" w:hAnsi="Century Gothic"/>
          <w:color w:val="000000" w:themeColor="text1"/>
          <w:sz w:val="20"/>
          <w:szCs w:val="20"/>
        </w:rPr>
      </w:pPr>
      <w:r>
        <w:rPr>
          <w:rFonts w:ascii="Century Gothic" w:hAnsi="Century Gothic"/>
          <w:color w:val="000000" w:themeColor="text1"/>
          <w:sz w:val="20"/>
          <w:szCs w:val="20"/>
          <w:lang w:val="en-US"/>
        </w:rPr>
        <w:t xml:space="preserve">We strongly recommend that </w:t>
      </w:r>
      <w:r w:rsidRPr="00F31DAC">
        <w:rPr>
          <w:rFonts w:ascii="Century Gothic" w:hAnsi="Century Gothic"/>
          <w:color w:val="000000" w:themeColor="text1"/>
          <w:sz w:val="20"/>
          <w:szCs w:val="20"/>
          <w:lang w:val="en-US"/>
        </w:rPr>
        <w:t xml:space="preserve">a final cost benefit analysis is completed prior to </w:t>
      </w:r>
      <w:proofErr w:type="spellStart"/>
      <w:r w:rsidRPr="00F31DAC">
        <w:rPr>
          <w:rFonts w:ascii="Century Gothic" w:hAnsi="Century Gothic"/>
          <w:color w:val="000000" w:themeColor="text1"/>
          <w:sz w:val="20"/>
          <w:szCs w:val="20"/>
          <w:lang w:val="en-US"/>
        </w:rPr>
        <w:t>finalisation</w:t>
      </w:r>
      <w:proofErr w:type="spellEnd"/>
      <w:r w:rsidRPr="00F31DAC">
        <w:rPr>
          <w:rFonts w:ascii="Century Gothic" w:hAnsi="Century Gothic"/>
          <w:color w:val="000000" w:themeColor="text1"/>
          <w:sz w:val="20"/>
          <w:szCs w:val="20"/>
          <w:lang w:val="en-US"/>
        </w:rPr>
        <w:t xml:space="preserve"> of the regulations (this one, as well as the collective suite of regulations that make up this reform) to provide the evidence base to ensure the final reform is proportionate, well-designed, well-targeted and fit for purpose.</w:t>
      </w:r>
    </w:p>
    <w:p w14:paraId="7A046FF0" w14:textId="5C9C8CEF" w:rsidR="0037725C" w:rsidRDefault="0037725C" w:rsidP="008E3D53">
      <w:pPr>
        <w:jc w:val="both"/>
        <w:rPr>
          <w:rFonts w:ascii="Century Gothic" w:hAnsi="Century Gothic"/>
          <w:color w:val="000000" w:themeColor="text1"/>
          <w:sz w:val="20"/>
          <w:szCs w:val="20"/>
        </w:rPr>
      </w:pPr>
      <w:r>
        <w:rPr>
          <w:rFonts w:ascii="Century Gothic" w:hAnsi="Century Gothic"/>
          <w:color w:val="000000" w:themeColor="text1"/>
          <w:sz w:val="20"/>
          <w:szCs w:val="20"/>
        </w:rPr>
        <w:t>We therefore offer the following specific feedback regarding the Water Markets Intermediaries Code and Statutory Trust Accounts Policy Position Paper, noting our overarching concerns with regulatory burden for the team to consider.</w:t>
      </w:r>
    </w:p>
    <w:p w14:paraId="1C3B9ECC" w14:textId="37440D37" w:rsidR="003B3B43" w:rsidRPr="0060782C" w:rsidRDefault="003B3B43" w:rsidP="008E3D53">
      <w:pPr>
        <w:jc w:val="both"/>
        <w:rPr>
          <w:rFonts w:ascii="Century Gothic" w:hAnsi="Century Gothic"/>
          <w:color w:val="000000" w:themeColor="text1"/>
          <w:sz w:val="20"/>
          <w:szCs w:val="20"/>
          <w:u w:val="single"/>
        </w:rPr>
      </w:pPr>
      <w:r w:rsidRPr="0060782C">
        <w:rPr>
          <w:rFonts w:ascii="Century Gothic" w:hAnsi="Century Gothic"/>
          <w:color w:val="000000" w:themeColor="text1"/>
          <w:sz w:val="20"/>
          <w:szCs w:val="20"/>
          <w:u w:val="single"/>
        </w:rPr>
        <w:t>Code application:</w:t>
      </w:r>
    </w:p>
    <w:p w14:paraId="65C8B6AB" w14:textId="47698320" w:rsidR="003B3B43" w:rsidRDefault="004152D0" w:rsidP="008E3D53">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Whilst NIC supports the new exemption </w:t>
      </w:r>
      <w:r w:rsidR="00916C2B">
        <w:rPr>
          <w:rFonts w:ascii="Century Gothic" w:hAnsi="Century Gothic"/>
          <w:color w:val="000000" w:themeColor="text1"/>
          <w:sz w:val="20"/>
          <w:szCs w:val="20"/>
        </w:rPr>
        <w:t xml:space="preserve">from prohibition </w:t>
      </w:r>
      <w:r w:rsidR="006C0B9E">
        <w:rPr>
          <w:rFonts w:ascii="Century Gothic" w:hAnsi="Century Gothic"/>
          <w:color w:val="000000" w:themeColor="text1"/>
          <w:sz w:val="20"/>
          <w:szCs w:val="20"/>
        </w:rPr>
        <w:t>rules for</w:t>
      </w:r>
      <w:r>
        <w:rPr>
          <w:rFonts w:ascii="Century Gothic" w:hAnsi="Century Gothic"/>
          <w:color w:val="000000" w:themeColor="text1"/>
          <w:sz w:val="20"/>
          <w:szCs w:val="20"/>
        </w:rPr>
        <w:t xml:space="preserve"> </w:t>
      </w:r>
      <w:r w:rsidR="00916C2B">
        <w:rPr>
          <w:rFonts w:ascii="Century Gothic" w:hAnsi="Century Gothic"/>
          <w:color w:val="000000" w:themeColor="text1"/>
          <w:sz w:val="20"/>
          <w:szCs w:val="20"/>
        </w:rPr>
        <w:t>IIOs who provide intermediary services</w:t>
      </w:r>
      <w:r w:rsidR="006C0B9E">
        <w:rPr>
          <w:rFonts w:ascii="Century Gothic" w:hAnsi="Century Gothic"/>
          <w:color w:val="000000" w:themeColor="text1"/>
          <w:sz w:val="20"/>
          <w:szCs w:val="20"/>
        </w:rPr>
        <w:t xml:space="preserve">, clarity must be provided to whom the code applies. </w:t>
      </w:r>
      <w:r w:rsidR="00A6248B">
        <w:rPr>
          <w:rFonts w:ascii="Century Gothic" w:hAnsi="Century Gothic"/>
          <w:color w:val="000000" w:themeColor="text1"/>
          <w:sz w:val="20"/>
          <w:szCs w:val="20"/>
        </w:rPr>
        <w:t>This</w:t>
      </w:r>
      <w:r w:rsidR="00061907">
        <w:rPr>
          <w:rFonts w:ascii="Century Gothic" w:hAnsi="Century Gothic"/>
          <w:color w:val="000000" w:themeColor="text1"/>
          <w:sz w:val="20"/>
          <w:szCs w:val="20"/>
        </w:rPr>
        <w:t xml:space="preserve"> could be </w:t>
      </w:r>
      <w:r w:rsidR="002A0ABE">
        <w:rPr>
          <w:rFonts w:ascii="Century Gothic" w:hAnsi="Century Gothic"/>
          <w:color w:val="000000" w:themeColor="text1"/>
          <w:sz w:val="20"/>
          <w:szCs w:val="20"/>
        </w:rPr>
        <w:t>achieved</w:t>
      </w:r>
      <w:r w:rsidR="00061907">
        <w:rPr>
          <w:rFonts w:ascii="Century Gothic" w:hAnsi="Century Gothic"/>
          <w:color w:val="000000" w:themeColor="text1"/>
          <w:sz w:val="20"/>
          <w:szCs w:val="20"/>
        </w:rPr>
        <w:t xml:space="preserve"> </w:t>
      </w:r>
      <w:r w:rsidR="002A0ABE">
        <w:rPr>
          <w:rFonts w:ascii="Century Gothic" w:hAnsi="Century Gothic"/>
          <w:color w:val="000000" w:themeColor="text1"/>
          <w:sz w:val="20"/>
          <w:szCs w:val="20"/>
        </w:rPr>
        <w:t xml:space="preserve">by </w:t>
      </w:r>
      <w:r w:rsidR="00061907">
        <w:rPr>
          <w:rFonts w:ascii="Century Gothic" w:hAnsi="Century Gothic"/>
          <w:color w:val="000000" w:themeColor="text1"/>
          <w:sz w:val="20"/>
          <w:szCs w:val="20"/>
        </w:rPr>
        <w:t>providing clearer examples of who it applies and who does not</w:t>
      </w:r>
      <w:r w:rsidR="004104E4">
        <w:rPr>
          <w:rFonts w:ascii="Century Gothic" w:hAnsi="Century Gothic"/>
          <w:color w:val="000000" w:themeColor="text1"/>
          <w:sz w:val="20"/>
          <w:szCs w:val="20"/>
        </w:rPr>
        <w:t>, or a central list</w:t>
      </w:r>
      <w:r w:rsidR="002A0ABE">
        <w:rPr>
          <w:rFonts w:ascii="Century Gothic" w:hAnsi="Century Gothic"/>
          <w:color w:val="000000" w:themeColor="text1"/>
          <w:sz w:val="20"/>
          <w:szCs w:val="20"/>
        </w:rPr>
        <w:t>.  This request</w:t>
      </w:r>
      <w:r w:rsidR="00A6248B">
        <w:rPr>
          <w:rFonts w:ascii="Century Gothic" w:hAnsi="Century Gothic"/>
          <w:color w:val="000000" w:themeColor="text1"/>
          <w:sz w:val="20"/>
          <w:szCs w:val="20"/>
        </w:rPr>
        <w:t xml:space="preserve"> does not mean a register </w:t>
      </w:r>
      <w:r w:rsidR="003A7381">
        <w:rPr>
          <w:rFonts w:ascii="Century Gothic" w:hAnsi="Century Gothic"/>
          <w:color w:val="000000" w:themeColor="text1"/>
          <w:sz w:val="20"/>
          <w:szCs w:val="20"/>
        </w:rPr>
        <w:t xml:space="preserve">must be created but </w:t>
      </w:r>
      <w:r w:rsidR="00A6248B">
        <w:rPr>
          <w:rFonts w:ascii="Century Gothic" w:hAnsi="Century Gothic"/>
          <w:color w:val="000000" w:themeColor="text1"/>
          <w:sz w:val="20"/>
          <w:szCs w:val="20"/>
        </w:rPr>
        <w:t xml:space="preserve">rather, a clear list </w:t>
      </w:r>
      <w:r w:rsidR="003A7381">
        <w:rPr>
          <w:rFonts w:ascii="Century Gothic" w:hAnsi="Century Gothic"/>
          <w:color w:val="000000" w:themeColor="text1"/>
          <w:sz w:val="20"/>
          <w:szCs w:val="20"/>
        </w:rPr>
        <w:t xml:space="preserve">in a central location, </w:t>
      </w:r>
      <w:r w:rsidR="00A6248B">
        <w:rPr>
          <w:rFonts w:ascii="Century Gothic" w:hAnsi="Century Gothic"/>
          <w:color w:val="000000" w:themeColor="text1"/>
          <w:sz w:val="20"/>
          <w:szCs w:val="20"/>
        </w:rPr>
        <w:t xml:space="preserve">which businesses can nominate to publicise they adhere to the code. </w:t>
      </w:r>
      <w:r w:rsidR="004104E4">
        <w:rPr>
          <w:rFonts w:ascii="Century Gothic" w:hAnsi="Century Gothic"/>
          <w:color w:val="000000" w:themeColor="text1"/>
          <w:sz w:val="20"/>
          <w:szCs w:val="20"/>
        </w:rPr>
        <w:t xml:space="preserve">This would improve </w:t>
      </w:r>
      <w:r w:rsidR="004104E4">
        <w:rPr>
          <w:rFonts w:ascii="Century Gothic" w:hAnsi="Century Gothic"/>
          <w:color w:val="000000" w:themeColor="text1"/>
          <w:sz w:val="20"/>
          <w:szCs w:val="20"/>
        </w:rPr>
        <w:lastRenderedPageBreak/>
        <w:t xml:space="preserve">transparency for market participants, wanting to understand if the intermediary they are interacting with </w:t>
      </w:r>
      <w:r w:rsidR="0060782C">
        <w:rPr>
          <w:rFonts w:ascii="Century Gothic" w:hAnsi="Century Gothic"/>
          <w:color w:val="000000" w:themeColor="text1"/>
          <w:sz w:val="20"/>
          <w:szCs w:val="20"/>
        </w:rPr>
        <w:t xml:space="preserve">fall under the code of conduct or not. </w:t>
      </w:r>
      <w:r w:rsidR="00A6248B">
        <w:rPr>
          <w:rFonts w:ascii="Century Gothic" w:hAnsi="Century Gothic"/>
          <w:color w:val="000000" w:themeColor="text1"/>
          <w:sz w:val="20"/>
          <w:szCs w:val="20"/>
        </w:rPr>
        <w:t xml:space="preserve"> </w:t>
      </w:r>
    </w:p>
    <w:p w14:paraId="54C15482" w14:textId="723BEDC8" w:rsidR="002D3BE9" w:rsidRPr="0060782C" w:rsidRDefault="002D3BE9" w:rsidP="002D3BE9">
      <w:pPr>
        <w:pStyle w:val="ListParagraph"/>
        <w:numPr>
          <w:ilvl w:val="1"/>
          <w:numId w:val="7"/>
        </w:numPr>
        <w:jc w:val="both"/>
        <w:rPr>
          <w:rFonts w:ascii="Century Gothic" w:hAnsi="Century Gothic"/>
          <w:color w:val="000000" w:themeColor="text1"/>
          <w:sz w:val="20"/>
          <w:szCs w:val="20"/>
          <w:u w:val="single"/>
        </w:rPr>
      </w:pPr>
      <w:r w:rsidRPr="0060782C">
        <w:rPr>
          <w:rFonts w:ascii="Century Gothic" w:hAnsi="Century Gothic"/>
          <w:color w:val="000000" w:themeColor="text1"/>
          <w:sz w:val="20"/>
          <w:szCs w:val="20"/>
          <w:u w:val="single"/>
        </w:rPr>
        <w:t xml:space="preserve">General conduct obligations </w:t>
      </w:r>
    </w:p>
    <w:p w14:paraId="160155AC" w14:textId="1E766852" w:rsidR="004610A0" w:rsidRPr="004610A0" w:rsidRDefault="004610A0" w:rsidP="004610A0">
      <w:pPr>
        <w:jc w:val="both"/>
        <w:rPr>
          <w:rFonts w:ascii="Century Gothic" w:hAnsi="Century Gothic"/>
          <w:color w:val="000000" w:themeColor="text1"/>
          <w:sz w:val="20"/>
          <w:szCs w:val="20"/>
        </w:rPr>
      </w:pPr>
      <w:r w:rsidRPr="004610A0">
        <w:rPr>
          <w:rFonts w:ascii="Century Gothic" w:hAnsi="Century Gothic"/>
          <w:color w:val="000000" w:themeColor="text1"/>
          <w:sz w:val="20"/>
          <w:szCs w:val="20"/>
        </w:rPr>
        <w:t xml:space="preserve">Further work to outline what matters the court may use to allow for the exemption </w:t>
      </w:r>
      <w:r w:rsidR="007D0957">
        <w:rPr>
          <w:rFonts w:ascii="Century Gothic" w:hAnsi="Century Gothic"/>
          <w:color w:val="000000" w:themeColor="text1"/>
          <w:sz w:val="20"/>
          <w:szCs w:val="20"/>
        </w:rPr>
        <w:t xml:space="preserve">in Obligation 4, may occur would be beneficial. </w:t>
      </w:r>
    </w:p>
    <w:p w14:paraId="03486251" w14:textId="291FB39F" w:rsidR="004610A0" w:rsidRDefault="004610A0" w:rsidP="002D3BE9">
      <w:pPr>
        <w:jc w:val="both"/>
        <w:rPr>
          <w:rFonts w:ascii="Century Gothic" w:hAnsi="Century Gothic"/>
          <w:color w:val="000000" w:themeColor="text1"/>
          <w:sz w:val="20"/>
          <w:szCs w:val="20"/>
        </w:rPr>
      </w:pPr>
      <w:r>
        <w:rPr>
          <w:rFonts w:ascii="Century Gothic" w:hAnsi="Century Gothic"/>
          <w:color w:val="000000" w:themeColor="text1"/>
          <w:sz w:val="20"/>
          <w:szCs w:val="20"/>
        </w:rPr>
        <w:t>NIC supports the clarity provided by the addition of obligation 5.</w:t>
      </w:r>
    </w:p>
    <w:p w14:paraId="17D3DC4A" w14:textId="77777777" w:rsidR="002D3BE9" w:rsidRPr="004610A0" w:rsidRDefault="002D3BE9" w:rsidP="002D3BE9">
      <w:pPr>
        <w:jc w:val="both"/>
        <w:rPr>
          <w:rFonts w:ascii="Century Gothic" w:hAnsi="Century Gothic"/>
          <w:color w:val="000000" w:themeColor="text1"/>
          <w:sz w:val="20"/>
          <w:szCs w:val="20"/>
          <w:u w:val="single"/>
        </w:rPr>
      </w:pPr>
      <w:r w:rsidRPr="004610A0">
        <w:rPr>
          <w:rFonts w:ascii="Century Gothic" w:hAnsi="Century Gothic"/>
          <w:color w:val="000000" w:themeColor="text1"/>
          <w:sz w:val="20"/>
          <w:szCs w:val="20"/>
          <w:u w:val="single"/>
        </w:rPr>
        <w:t>1.2 Conflict of interest</w:t>
      </w:r>
    </w:p>
    <w:p w14:paraId="35B6CD4A" w14:textId="41A68F0F" w:rsidR="002D3BE9" w:rsidRDefault="005B0965" w:rsidP="002D3BE9">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NIC supports the amended conflict of interest provisions and </w:t>
      </w:r>
      <w:r w:rsidR="004A7940">
        <w:rPr>
          <w:rFonts w:ascii="Century Gothic" w:hAnsi="Century Gothic"/>
          <w:color w:val="000000" w:themeColor="text1"/>
          <w:sz w:val="20"/>
          <w:szCs w:val="20"/>
        </w:rPr>
        <w:t xml:space="preserve">the exemption for IIOs </w:t>
      </w:r>
      <w:r w:rsidR="00723C2D">
        <w:rPr>
          <w:rFonts w:ascii="Century Gothic" w:hAnsi="Century Gothic"/>
          <w:color w:val="000000" w:themeColor="text1"/>
          <w:sz w:val="20"/>
          <w:szCs w:val="20"/>
        </w:rPr>
        <w:t xml:space="preserve">to </w:t>
      </w:r>
      <w:r w:rsidR="0036002C">
        <w:rPr>
          <w:rFonts w:ascii="Century Gothic" w:hAnsi="Century Gothic"/>
          <w:color w:val="000000" w:themeColor="text1"/>
          <w:sz w:val="20"/>
          <w:szCs w:val="20"/>
        </w:rPr>
        <w:t xml:space="preserve">obligation 2 – </w:t>
      </w:r>
      <w:r w:rsidR="00723C2D">
        <w:rPr>
          <w:rFonts w:ascii="Century Gothic" w:hAnsi="Century Gothic"/>
          <w:color w:val="000000" w:themeColor="text1"/>
          <w:sz w:val="20"/>
          <w:szCs w:val="20"/>
        </w:rPr>
        <w:t>prohibition</w:t>
      </w:r>
      <w:r w:rsidR="0036002C">
        <w:rPr>
          <w:rFonts w:ascii="Century Gothic" w:hAnsi="Century Gothic"/>
          <w:color w:val="000000" w:themeColor="text1"/>
          <w:sz w:val="20"/>
          <w:szCs w:val="20"/>
        </w:rPr>
        <w:t>.  The additional obligations for IIO provide clarity of expectations of behaviour.</w:t>
      </w:r>
    </w:p>
    <w:p w14:paraId="2FE96A85" w14:textId="4C794214" w:rsidR="004B73F3" w:rsidRPr="002D3BE9" w:rsidRDefault="004B73F3" w:rsidP="002D3BE9">
      <w:pPr>
        <w:jc w:val="both"/>
        <w:rPr>
          <w:rFonts w:ascii="Century Gothic" w:hAnsi="Century Gothic"/>
          <w:color w:val="000000" w:themeColor="text1"/>
          <w:sz w:val="20"/>
          <w:szCs w:val="20"/>
        </w:rPr>
      </w:pPr>
      <w:r>
        <w:rPr>
          <w:rFonts w:ascii="Century Gothic" w:hAnsi="Century Gothic"/>
          <w:color w:val="000000" w:themeColor="text1"/>
          <w:sz w:val="20"/>
          <w:szCs w:val="20"/>
        </w:rPr>
        <w:t>Further clarity of what would constitution a misuse of power</w:t>
      </w:r>
      <w:r w:rsidR="00A17C4D">
        <w:rPr>
          <w:rFonts w:ascii="Century Gothic" w:hAnsi="Century Gothic"/>
          <w:color w:val="000000" w:themeColor="text1"/>
          <w:sz w:val="20"/>
          <w:szCs w:val="20"/>
        </w:rPr>
        <w:t xml:space="preserve"> etc</w:t>
      </w:r>
      <w:r>
        <w:rPr>
          <w:rFonts w:ascii="Century Gothic" w:hAnsi="Century Gothic"/>
          <w:color w:val="000000" w:themeColor="text1"/>
          <w:sz w:val="20"/>
          <w:szCs w:val="20"/>
        </w:rPr>
        <w:t xml:space="preserve"> and recognition of existing obligations to other regulations and laws, like the Corporations Act would be beneficial. </w:t>
      </w:r>
    </w:p>
    <w:p w14:paraId="40EE5185" w14:textId="71184B7D" w:rsidR="002D3BE9" w:rsidRPr="00F12875" w:rsidRDefault="002D3BE9" w:rsidP="00F12875">
      <w:pPr>
        <w:pStyle w:val="ListParagraph"/>
        <w:numPr>
          <w:ilvl w:val="1"/>
          <w:numId w:val="8"/>
        </w:numPr>
        <w:jc w:val="both"/>
        <w:rPr>
          <w:rFonts w:ascii="Century Gothic" w:hAnsi="Century Gothic"/>
          <w:color w:val="000000" w:themeColor="text1"/>
          <w:sz w:val="20"/>
          <w:szCs w:val="20"/>
          <w:u w:val="single"/>
        </w:rPr>
      </w:pPr>
      <w:r w:rsidRPr="00F12875">
        <w:rPr>
          <w:rFonts w:ascii="Century Gothic" w:hAnsi="Century Gothic"/>
          <w:color w:val="000000" w:themeColor="text1"/>
          <w:sz w:val="20"/>
          <w:szCs w:val="20"/>
          <w:u w:val="single"/>
        </w:rPr>
        <w:t xml:space="preserve">Information that must be provided to clients before services are provided </w:t>
      </w:r>
    </w:p>
    <w:p w14:paraId="601E5AAD" w14:textId="77777777" w:rsidR="000B13AD" w:rsidRDefault="00D508B6" w:rsidP="00A17AD2">
      <w:pPr>
        <w:jc w:val="both"/>
        <w:rPr>
          <w:rFonts w:ascii="Century Gothic" w:hAnsi="Century Gothic"/>
          <w:color w:val="000000" w:themeColor="text1"/>
          <w:sz w:val="20"/>
          <w:szCs w:val="20"/>
        </w:rPr>
      </w:pPr>
      <w:r>
        <w:rPr>
          <w:rFonts w:ascii="Century Gothic" w:hAnsi="Century Gothic"/>
          <w:color w:val="000000" w:themeColor="text1"/>
          <w:sz w:val="20"/>
          <w:szCs w:val="20"/>
        </w:rPr>
        <w:t>The provision of obligations are important</w:t>
      </w:r>
      <w:r w:rsidR="00165BD6">
        <w:rPr>
          <w:rFonts w:ascii="Century Gothic" w:hAnsi="Century Gothic"/>
          <w:color w:val="000000" w:themeColor="text1"/>
          <w:sz w:val="20"/>
          <w:szCs w:val="20"/>
        </w:rPr>
        <w:t xml:space="preserve">, provided they are clear and simple to understand.  The extensive list </w:t>
      </w:r>
      <w:r w:rsidR="0058419A">
        <w:rPr>
          <w:rFonts w:ascii="Century Gothic" w:hAnsi="Century Gothic"/>
          <w:color w:val="000000" w:themeColor="text1"/>
          <w:sz w:val="20"/>
          <w:szCs w:val="20"/>
        </w:rPr>
        <w:t>information to be communicated may be problematic</w:t>
      </w:r>
      <w:r>
        <w:rPr>
          <w:rFonts w:ascii="Century Gothic" w:hAnsi="Century Gothic"/>
          <w:color w:val="000000" w:themeColor="text1"/>
          <w:sz w:val="20"/>
          <w:szCs w:val="20"/>
        </w:rPr>
        <w:t xml:space="preserve">, </w:t>
      </w:r>
      <w:r w:rsidR="0058419A">
        <w:rPr>
          <w:rFonts w:ascii="Century Gothic" w:hAnsi="Century Gothic"/>
          <w:color w:val="000000" w:themeColor="text1"/>
          <w:sz w:val="20"/>
          <w:szCs w:val="20"/>
        </w:rPr>
        <w:t xml:space="preserve">particularly when it needs to be sent every 12-months. </w:t>
      </w:r>
    </w:p>
    <w:p w14:paraId="3B8A59F8" w14:textId="1A15B047" w:rsidR="00A17AD2" w:rsidRPr="0041236B" w:rsidRDefault="000B13AD" w:rsidP="00A17AD2">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NIC suggests that this requirement should be written to ensure that this information is publicly </w:t>
      </w:r>
      <w:r w:rsidR="00763BAD">
        <w:rPr>
          <w:rFonts w:ascii="Century Gothic" w:hAnsi="Century Gothic"/>
          <w:color w:val="000000" w:themeColor="text1"/>
          <w:sz w:val="20"/>
          <w:szCs w:val="20"/>
        </w:rPr>
        <w:t>accessible,</w:t>
      </w:r>
      <w:r>
        <w:rPr>
          <w:rFonts w:ascii="Century Gothic" w:hAnsi="Century Gothic"/>
          <w:color w:val="000000" w:themeColor="text1"/>
          <w:sz w:val="20"/>
          <w:szCs w:val="20"/>
        </w:rPr>
        <w:t xml:space="preserve"> and that links are available for clients. </w:t>
      </w:r>
    </w:p>
    <w:p w14:paraId="4B4E5D69" w14:textId="3F00A684" w:rsidR="00435657" w:rsidRPr="00435657" w:rsidRDefault="002D3BE9" w:rsidP="00F12875">
      <w:pPr>
        <w:pStyle w:val="ListParagraph"/>
        <w:numPr>
          <w:ilvl w:val="1"/>
          <w:numId w:val="8"/>
        </w:numPr>
        <w:jc w:val="both"/>
        <w:rPr>
          <w:rFonts w:ascii="Century Gothic" w:hAnsi="Century Gothic"/>
          <w:color w:val="000000" w:themeColor="text1"/>
          <w:sz w:val="20"/>
          <w:szCs w:val="20"/>
          <w:u w:val="single"/>
        </w:rPr>
      </w:pPr>
      <w:r w:rsidRPr="00435657">
        <w:rPr>
          <w:rFonts w:ascii="Century Gothic" w:hAnsi="Century Gothic"/>
          <w:color w:val="000000" w:themeColor="text1"/>
          <w:sz w:val="20"/>
          <w:szCs w:val="20"/>
          <w:u w:val="single"/>
        </w:rPr>
        <w:t>Client instructions for buy sell offers etc</w:t>
      </w:r>
    </w:p>
    <w:p w14:paraId="00FB3EF7" w14:textId="77777777" w:rsidR="001E3AE3" w:rsidRDefault="00605DED" w:rsidP="002D3BE9">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Whilst we appreciate the need for improved documentation, the pace at which manually facilitated water trade occur make these obligations </w:t>
      </w:r>
      <w:r w:rsidR="00CF2D10">
        <w:rPr>
          <w:rFonts w:ascii="Century Gothic" w:hAnsi="Century Gothic"/>
          <w:color w:val="000000" w:themeColor="text1"/>
          <w:sz w:val="20"/>
          <w:szCs w:val="20"/>
        </w:rPr>
        <w:t xml:space="preserve">challenging. </w:t>
      </w:r>
      <w:r w:rsidR="00985609">
        <w:rPr>
          <w:rFonts w:ascii="Century Gothic" w:hAnsi="Century Gothic"/>
          <w:color w:val="000000" w:themeColor="text1"/>
          <w:sz w:val="20"/>
          <w:szCs w:val="20"/>
        </w:rPr>
        <w:t>Flexibility should be considered about the point at which documentation of the formal, verbally accepted offer may occur</w:t>
      </w:r>
      <w:r w:rsidR="003D49EC">
        <w:rPr>
          <w:rFonts w:ascii="Century Gothic" w:hAnsi="Century Gothic"/>
          <w:color w:val="000000" w:themeColor="text1"/>
          <w:sz w:val="20"/>
          <w:szCs w:val="20"/>
        </w:rPr>
        <w:t xml:space="preserve"> and need documenting and reporting to the clients involved</w:t>
      </w:r>
      <w:r w:rsidR="00985609">
        <w:rPr>
          <w:rFonts w:ascii="Century Gothic" w:hAnsi="Century Gothic"/>
          <w:color w:val="000000" w:themeColor="text1"/>
          <w:sz w:val="20"/>
          <w:szCs w:val="20"/>
        </w:rPr>
        <w:t xml:space="preserve">. </w:t>
      </w:r>
    </w:p>
    <w:p w14:paraId="1B0D2422" w14:textId="0F31B50C" w:rsidR="00435657" w:rsidRDefault="001E3AE3" w:rsidP="002D3BE9">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This should clearly be outlined in the information to be provided before services are provided, the point at which documentation occurs if verbal versus through other means. </w:t>
      </w:r>
    </w:p>
    <w:p w14:paraId="30428972" w14:textId="4BAAE62D" w:rsidR="002D3BE9" w:rsidRPr="001E3AE3" w:rsidRDefault="002D3BE9" w:rsidP="001E3AE3">
      <w:pPr>
        <w:pStyle w:val="ListParagraph"/>
        <w:numPr>
          <w:ilvl w:val="1"/>
          <w:numId w:val="8"/>
        </w:numPr>
        <w:jc w:val="both"/>
        <w:rPr>
          <w:rFonts w:ascii="Century Gothic" w:hAnsi="Century Gothic"/>
          <w:color w:val="000000" w:themeColor="text1"/>
          <w:sz w:val="20"/>
          <w:szCs w:val="20"/>
          <w:u w:val="single"/>
        </w:rPr>
      </w:pPr>
      <w:r w:rsidRPr="001E3AE3">
        <w:rPr>
          <w:rFonts w:ascii="Century Gothic" w:hAnsi="Century Gothic"/>
          <w:color w:val="000000" w:themeColor="text1"/>
          <w:sz w:val="20"/>
          <w:szCs w:val="20"/>
          <w:u w:val="single"/>
        </w:rPr>
        <w:t>Complaints handling process</w:t>
      </w:r>
    </w:p>
    <w:p w14:paraId="62C21BA1" w14:textId="3242F4A3" w:rsidR="001E3AE3" w:rsidRPr="00482053" w:rsidRDefault="00740F4F" w:rsidP="001E3AE3">
      <w:pPr>
        <w:jc w:val="both"/>
        <w:rPr>
          <w:rFonts w:ascii="Century Gothic" w:hAnsi="Century Gothic"/>
          <w:color w:val="000000" w:themeColor="text1"/>
          <w:sz w:val="20"/>
          <w:szCs w:val="20"/>
        </w:rPr>
      </w:pPr>
      <w:r w:rsidRPr="00482053">
        <w:rPr>
          <w:rFonts w:ascii="Century Gothic" w:hAnsi="Century Gothic"/>
          <w:color w:val="000000" w:themeColor="text1"/>
          <w:sz w:val="20"/>
          <w:szCs w:val="20"/>
        </w:rPr>
        <w:t>If a complaint is not resolved satisfactorily to either party, what are the next steps available to eith</w:t>
      </w:r>
      <w:r w:rsidR="00482053" w:rsidRPr="00482053">
        <w:rPr>
          <w:rFonts w:ascii="Century Gothic" w:hAnsi="Century Gothic"/>
          <w:color w:val="000000" w:themeColor="text1"/>
          <w:sz w:val="20"/>
          <w:szCs w:val="20"/>
        </w:rPr>
        <w:t xml:space="preserve">er a client or an intermediary to </w:t>
      </w:r>
      <w:r w:rsidRPr="00482053">
        <w:rPr>
          <w:rFonts w:ascii="Century Gothic" w:hAnsi="Century Gothic"/>
          <w:color w:val="000000" w:themeColor="text1"/>
          <w:sz w:val="20"/>
          <w:szCs w:val="20"/>
        </w:rPr>
        <w:t>seek a resolution</w:t>
      </w:r>
      <w:r w:rsidR="00482053" w:rsidRPr="00482053">
        <w:rPr>
          <w:rFonts w:ascii="Century Gothic" w:hAnsi="Century Gothic"/>
          <w:color w:val="000000" w:themeColor="text1"/>
          <w:sz w:val="20"/>
          <w:szCs w:val="20"/>
        </w:rPr>
        <w:t xml:space="preserve">, if there is no independent </w:t>
      </w:r>
      <w:r w:rsidR="00DB1139" w:rsidRPr="00482053">
        <w:rPr>
          <w:rFonts w:ascii="Century Gothic" w:hAnsi="Century Gothic"/>
          <w:color w:val="000000" w:themeColor="text1"/>
          <w:sz w:val="20"/>
          <w:szCs w:val="20"/>
        </w:rPr>
        <w:t>resolution</w:t>
      </w:r>
      <w:r w:rsidR="00482053" w:rsidRPr="00482053">
        <w:rPr>
          <w:rFonts w:ascii="Century Gothic" w:hAnsi="Century Gothic"/>
          <w:color w:val="000000" w:themeColor="text1"/>
          <w:sz w:val="20"/>
          <w:szCs w:val="20"/>
        </w:rPr>
        <w:t xml:space="preserve"> required</w:t>
      </w:r>
      <w:r w:rsidRPr="00482053">
        <w:rPr>
          <w:rFonts w:ascii="Century Gothic" w:hAnsi="Century Gothic"/>
          <w:color w:val="000000" w:themeColor="text1"/>
          <w:sz w:val="20"/>
          <w:szCs w:val="20"/>
        </w:rPr>
        <w:t>?</w:t>
      </w:r>
    </w:p>
    <w:p w14:paraId="039FA2B9" w14:textId="6B671726" w:rsidR="002D3BE9" w:rsidRPr="00482053" w:rsidRDefault="002D3BE9" w:rsidP="00482053">
      <w:pPr>
        <w:pStyle w:val="ListParagraph"/>
        <w:numPr>
          <w:ilvl w:val="1"/>
          <w:numId w:val="8"/>
        </w:numPr>
        <w:jc w:val="both"/>
        <w:rPr>
          <w:rFonts w:ascii="Century Gothic" w:hAnsi="Century Gothic"/>
          <w:color w:val="000000" w:themeColor="text1"/>
          <w:sz w:val="20"/>
          <w:szCs w:val="20"/>
          <w:u w:val="single"/>
        </w:rPr>
      </w:pPr>
      <w:r w:rsidRPr="00482053">
        <w:rPr>
          <w:rFonts w:ascii="Century Gothic" w:hAnsi="Century Gothic"/>
          <w:color w:val="000000" w:themeColor="text1"/>
          <w:sz w:val="20"/>
          <w:szCs w:val="20"/>
          <w:u w:val="single"/>
        </w:rPr>
        <w:t xml:space="preserve">Authority to submit trades for approval </w:t>
      </w:r>
    </w:p>
    <w:p w14:paraId="058996E4" w14:textId="3C0F9BAB" w:rsidR="00482053" w:rsidRPr="00151E08" w:rsidRDefault="00151E08" w:rsidP="00482053">
      <w:pPr>
        <w:jc w:val="both"/>
        <w:rPr>
          <w:rFonts w:ascii="Century Gothic" w:hAnsi="Century Gothic"/>
          <w:color w:val="000000" w:themeColor="text1"/>
          <w:sz w:val="20"/>
          <w:szCs w:val="20"/>
        </w:rPr>
      </w:pPr>
      <w:r w:rsidRPr="00151E08">
        <w:rPr>
          <w:rFonts w:ascii="Century Gothic" w:hAnsi="Century Gothic"/>
          <w:color w:val="000000" w:themeColor="text1"/>
          <w:sz w:val="20"/>
          <w:szCs w:val="20"/>
        </w:rPr>
        <w:t>No comment.</w:t>
      </w:r>
    </w:p>
    <w:p w14:paraId="1E32518D" w14:textId="334D7AA8" w:rsidR="002D3BE9" w:rsidRPr="00151E08" w:rsidRDefault="002D3BE9" w:rsidP="00151E08">
      <w:pPr>
        <w:pStyle w:val="ListParagraph"/>
        <w:numPr>
          <w:ilvl w:val="1"/>
          <w:numId w:val="8"/>
        </w:numPr>
        <w:jc w:val="both"/>
        <w:rPr>
          <w:rFonts w:ascii="Century Gothic" w:hAnsi="Century Gothic"/>
          <w:color w:val="000000" w:themeColor="text1"/>
          <w:sz w:val="20"/>
          <w:szCs w:val="20"/>
          <w:u w:val="single"/>
        </w:rPr>
      </w:pPr>
      <w:r w:rsidRPr="00151E08">
        <w:rPr>
          <w:rFonts w:ascii="Century Gothic" w:hAnsi="Century Gothic"/>
          <w:color w:val="000000" w:themeColor="text1"/>
          <w:sz w:val="20"/>
          <w:szCs w:val="20"/>
          <w:u w:val="single"/>
        </w:rPr>
        <w:t>Authority to act as an agent</w:t>
      </w:r>
    </w:p>
    <w:p w14:paraId="01559118" w14:textId="44F626BE" w:rsidR="00151E08" w:rsidRPr="00BE792D" w:rsidRDefault="00BE792D" w:rsidP="00151E08">
      <w:pPr>
        <w:jc w:val="both"/>
        <w:rPr>
          <w:rFonts w:ascii="Century Gothic" w:hAnsi="Century Gothic"/>
          <w:color w:val="000000" w:themeColor="text1"/>
          <w:sz w:val="20"/>
          <w:szCs w:val="20"/>
        </w:rPr>
      </w:pPr>
      <w:r w:rsidRPr="00BE792D">
        <w:rPr>
          <w:rFonts w:ascii="Century Gothic" w:hAnsi="Century Gothic"/>
          <w:color w:val="000000" w:themeColor="text1"/>
          <w:sz w:val="20"/>
          <w:szCs w:val="20"/>
        </w:rPr>
        <w:t xml:space="preserve">No comment. </w:t>
      </w:r>
    </w:p>
    <w:p w14:paraId="0B6F467F" w14:textId="11321C2B" w:rsidR="002D3BE9" w:rsidRPr="00BE792D" w:rsidRDefault="002D3BE9" w:rsidP="00BE792D">
      <w:pPr>
        <w:pStyle w:val="ListParagraph"/>
        <w:numPr>
          <w:ilvl w:val="1"/>
          <w:numId w:val="8"/>
        </w:numPr>
        <w:jc w:val="both"/>
        <w:rPr>
          <w:rFonts w:ascii="Century Gothic" w:hAnsi="Century Gothic"/>
          <w:color w:val="000000" w:themeColor="text1"/>
          <w:sz w:val="20"/>
          <w:szCs w:val="20"/>
          <w:u w:val="single"/>
        </w:rPr>
      </w:pPr>
      <w:r w:rsidRPr="00BE792D">
        <w:rPr>
          <w:rFonts w:ascii="Century Gothic" w:hAnsi="Century Gothic"/>
          <w:color w:val="000000" w:themeColor="text1"/>
          <w:sz w:val="20"/>
          <w:szCs w:val="20"/>
          <w:u w:val="single"/>
        </w:rPr>
        <w:t>Broking water account obligations</w:t>
      </w:r>
    </w:p>
    <w:p w14:paraId="549D50BB" w14:textId="0CD9F5EC" w:rsidR="00BE792D" w:rsidRPr="00BE792D" w:rsidRDefault="00B92FEC" w:rsidP="00BE792D">
      <w:pPr>
        <w:jc w:val="both"/>
        <w:rPr>
          <w:rFonts w:ascii="Century Gothic" w:hAnsi="Century Gothic"/>
          <w:color w:val="000000" w:themeColor="text1"/>
          <w:sz w:val="20"/>
          <w:szCs w:val="20"/>
        </w:rPr>
      </w:pPr>
      <w:r>
        <w:rPr>
          <w:rFonts w:ascii="Century Gothic" w:hAnsi="Century Gothic"/>
          <w:color w:val="000000" w:themeColor="text1"/>
          <w:sz w:val="20"/>
          <w:szCs w:val="20"/>
        </w:rPr>
        <w:t>No comment.</w:t>
      </w:r>
    </w:p>
    <w:p w14:paraId="46F0396C" w14:textId="4AE5CBF6" w:rsidR="002D3BE9" w:rsidRPr="00BE792D" w:rsidRDefault="002D3BE9" w:rsidP="00BE792D">
      <w:pPr>
        <w:pStyle w:val="ListParagraph"/>
        <w:numPr>
          <w:ilvl w:val="1"/>
          <w:numId w:val="8"/>
        </w:numPr>
        <w:jc w:val="both"/>
        <w:rPr>
          <w:rFonts w:ascii="Century Gothic" w:hAnsi="Century Gothic"/>
          <w:color w:val="000000" w:themeColor="text1"/>
          <w:sz w:val="20"/>
          <w:szCs w:val="20"/>
          <w:u w:val="single"/>
        </w:rPr>
      </w:pPr>
      <w:r w:rsidRPr="00BE792D">
        <w:rPr>
          <w:rFonts w:ascii="Century Gothic" w:hAnsi="Century Gothic"/>
          <w:color w:val="000000" w:themeColor="text1"/>
          <w:sz w:val="20"/>
          <w:szCs w:val="20"/>
          <w:u w:val="single"/>
        </w:rPr>
        <w:t xml:space="preserve">Professional indemnity insurance </w:t>
      </w:r>
    </w:p>
    <w:p w14:paraId="39F6F2C0" w14:textId="77777777" w:rsidR="00BE792D" w:rsidRPr="00BE792D" w:rsidRDefault="00BE792D" w:rsidP="00BE792D">
      <w:pPr>
        <w:pStyle w:val="ListParagraph"/>
        <w:rPr>
          <w:rFonts w:ascii="Century Gothic" w:hAnsi="Century Gothic"/>
          <w:color w:val="000000" w:themeColor="text1"/>
          <w:sz w:val="20"/>
          <w:szCs w:val="20"/>
          <w:u w:val="single"/>
        </w:rPr>
      </w:pPr>
    </w:p>
    <w:p w14:paraId="2901F376" w14:textId="46013B97" w:rsidR="00BE792D" w:rsidRPr="00DB1139" w:rsidRDefault="00B92FEC" w:rsidP="00BE792D">
      <w:pPr>
        <w:jc w:val="both"/>
        <w:rPr>
          <w:rFonts w:ascii="Century Gothic" w:hAnsi="Century Gothic"/>
          <w:color w:val="000000" w:themeColor="text1"/>
          <w:sz w:val="20"/>
          <w:szCs w:val="20"/>
        </w:rPr>
      </w:pPr>
      <w:r w:rsidRPr="00DB1139">
        <w:rPr>
          <w:rFonts w:ascii="Century Gothic" w:hAnsi="Century Gothic"/>
          <w:color w:val="000000" w:themeColor="text1"/>
          <w:sz w:val="20"/>
          <w:szCs w:val="20"/>
        </w:rPr>
        <w:lastRenderedPageBreak/>
        <w:t>Consideration of a reduced Professional Inde</w:t>
      </w:r>
      <w:r w:rsidR="00A85DC6" w:rsidRPr="00DB1139">
        <w:rPr>
          <w:rFonts w:ascii="Century Gothic" w:hAnsi="Century Gothic"/>
          <w:color w:val="000000" w:themeColor="text1"/>
          <w:sz w:val="20"/>
          <w:szCs w:val="20"/>
        </w:rPr>
        <w:t xml:space="preserve">mnity </w:t>
      </w:r>
      <w:r w:rsidR="00727094">
        <w:rPr>
          <w:rFonts w:ascii="Century Gothic" w:hAnsi="Century Gothic"/>
          <w:color w:val="000000" w:themeColor="text1"/>
          <w:sz w:val="20"/>
          <w:szCs w:val="20"/>
        </w:rPr>
        <w:t>insurance level should be considered for intermediaries that do not facilitate large volumes</w:t>
      </w:r>
      <w:r w:rsidR="006631B8">
        <w:rPr>
          <w:rFonts w:ascii="Century Gothic" w:hAnsi="Century Gothic"/>
          <w:color w:val="000000" w:themeColor="text1"/>
          <w:sz w:val="20"/>
          <w:szCs w:val="20"/>
        </w:rPr>
        <w:t xml:space="preserve"> of trades,</w:t>
      </w:r>
      <w:r w:rsidR="00727094">
        <w:rPr>
          <w:rFonts w:ascii="Century Gothic" w:hAnsi="Century Gothic"/>
          <w:color w:val="000000" w:themeColor="text1"/>
          <w:sz w:val="20"/>
          <w:szCs w:val="20"/>
        </w:rPr>
        <w:t xml:space="preserve"> in terms of water of money</w:t>
      </w:r>
      <w:r w:rsidR="006631B8">
        <w:rPr>
          <w:rFonts w:ascii="Century Gothic" w:hAnsi="Century Gothic"/>
          <w:color w:val="000000" w:themeColor="text1"/>
          <w:sz w:val="20"/>
          <w:szCs w:val="20"/>
        </w:rPr>
        <w:t xml:space="preserve"> to reduce the regulatory burden but ensure proportionate insurance protection. </w:t>
      </w:r>
    </w:p>
    <w:p w14:paraId="08D7C26C" w14:textId="730EDB43" w:rsidR="002D3BE9" w:rsidRPr="009D65AC" w:rsidRDefault="002D3BE9" w:rsidP="009D65AC">
      <w:pPr>
        <w:pStyle w:val="ListParagraph"/>
        <w:numPr>
          <w:ilvl w:val="1"/>
          <w:numId w:val="8"/>
        </w:numPr>
        <w:jc w:val="both"/>
        <w:rPr>
          <w:rFonts w:ascii="Century Gothic" w:hAnsi="Century Gothic"/>
          <w:color w:val="000000" w:themeColor="text1"/>
          <w:sz w:val="20"/>
          <w:szCs w:val="20"/>
          <w:u w:val="single"/>
        </w:rPr>
      </w:pPr>
      <w:r w:rsidRPr="009D65AC">
        <w:rPr>
          <w:rFonts w:ascii="Century Gothic" w:hAnsi="Century Gothic"/>
          <w:color w:val="000000" w:themeColor="text1"/>
          <w:sz w:val="20"/>
          <w:szCs w:val="20"/>
          <w:u w:val="single"/>
        </w:rPr>
        <w:t xml:space="preserve">Record keeping </w:t>
      </w:r>
    </w:p>
    <w:p w14:paraId="38556BC5" w14:textId="77777777" w:rsidR="001F3D2A" w:rsidRDefault="004134A7" w:rsidP="009D65AC">
      <w:pPr>
        <w:jc w:val="both"/>
        <w:rPr>
          <w:rFonts w:ascii="Century Gothic" w:hAnsi="Century Gothic"/>
          <w:color w:val="000000" w:themeColor="text1"/>
          <w:sz w:val="20"/>
          <w:szCs w:val="20"/>
        </w:rPr>
      </w:pPr>
      <w:r w:rsidRPr="001F3D2A">
        <w:rPr>
          <w:rFonts w:ascii="Century Gothic" w:hAnsi="Century Gothic"/>
          <w:color w:val="000000" w:themeColor="text1"/>
          <w:sz w:val="20"/>
          <w:szCs w:val="20"/>
        </w:rPr>
        <w:t xml:space="preserve">NIC is concerned there </w:t>
      </w:r>
      <w:r w:rsidR="00656C03" w:rsidRPr="001F3D2A">
        <w:rPr>
          <w:rFonts w:ascii="Century Gothic" w:hAnsi="Century Gothic"/>
          <w:color w:val="000000" w:themeColor="text1"/>
          <w:sz w:val="20"/>
          <w:szCs w:val="20"/>
        </w:rPr>
        <w:t>is likely</w:t>
      </w:r>
      <w:r w:rsidRPr="001F3D2A">
        <w:rPr>
          <w:rFonts w:ascii="Century Gothic" w:hAnsi="Century Gothic"/>
          <w:color w:val="000000" w:themeColor="text1"/>
          <w:sz w:val="20"/>
          <w:szCs w:val="20"/>
        </w:rPr>
        <w:t xml:space="preserve"> duplication between the </w:t>
      </w:r>
      <w:r w:rsidR="00656C03" w:rsidRPr="001F3D2A">
        <w:rPr>
          <w:rFonts w:ascii="Century Gothic" w:hAnsi="Century Gothic"/>
          <w:color w:val="000000" w:themeColor="text1"/>
          <w:sz w:val="20"/>
          <w:szCs w:val="20"/>
        </w:rPr>
        <w:t xml:space="preserve">record keeping requirements of the Code and the </w:t>
      </w:r>
      <w:r w:rsidR="00FB5172" w:rsidRPr="001F3D2A">
        <w:rPr>
          <w:rFonts w:ascii="Century Gothic" w:hAnsi="Century Gothic"/>
          <w:color w:val="000000" w:themeColor="text1"/>
          <w:sz w:val="20"/>
          <w:szCs w:val="20"/>
        </w:rPr>
        <w:t xml:space="preserve">water market </w:t>
      </w:r>
      <w:r w:rsidR="00E7594E" w:rsidRPr="001F3D2A">
        <w:rPr>
          <w:rFonts w:ascii="Century Gothic" w:hAnsi="Century Gothic"/>
          <w:color w:val="000000" w:themeColor="text1"/>
          <w:sz w:val="20"/>
          <w:szCs w:val="20"/>
        </w:rPr>
        <w:t xml:space="preserve">information obligation for data providers, where there is cross-over (for example IIO who also provide intermediary services). </w:t>
      </w:r>
      <w:r w:rsidR="00FB5172" w:rsidRPr="001F3D2A">
        <w:rPr>
          <w:rFonts w:ascii="Century Gothic" w:hAnsi="Century Gothic"/>
          <w:color w:val="000000" w:themeColor="text1"/>
          <w:sz w:val="20"/>
          <w:szCs w:val="20"/>
        </w:rPr>
        <w:t xml:space="preserve"> </w:t>
      </w:r>
    </w:p>
    <w:p w14:paraId="355542E9" w14:textId="3F8E16E2" w:rsidR="009D65AC" w:rsidRPr="001F3D2A" w:rsidRDefault="001F3D2A" w:rsidP="009D65AC">
      <w:pPr>
        <w:jc w:val="both"/>
        <w:rPr>
          <w:rFonts w:ascii="Century Gothic" w:hAnsi="Century Gothic"/>
          <w:color w:val="000000" w:themeColor="text1"/>
          <w:sz w:val="20"/>
          <w:szCs w:val="20"/>
        </w:rPr>
      </w:pPr>
      <w:r>
        <w:rPr>
          <w:rFonts w:ascii="Century Gothic" w:hAnsi="Century Gothic"/>
          <w:color w:val="000000" w:themeColor="text1"/>
          <w:sz w:val="20"/>
          <w:szCs w:val="20"/>
        </w:rPr>
        <w:t>T</w:t>
      </w:r>
      <w:r w:rsidR="00E7594E" w:rsidRPr="001F3D2A">
        <w:rPr>
          <w:rFonts w:ascii="Century Gothic" w:hAnsi="Century Gothic"/>
          <w:color w:val="000000" w:themeColor="text1"/>
          <w:sz w:val="20"/>
          <w:szCs w:val="20"/>
        </w:rPr>
        <w:t xml:space="preserve">herefore, </w:t>
      </w:r>
      <w:r>
        <w:rPr>
          <w:rFonts w:ascii="Century Gothic" w:hAnsi="Century Gothic"/>
          <w:color w:val="000000" w:themeColor="text1"/>
          <w:sz w:val="20"/>
          <w:szCs w:val="20"/>
        </w:rPr>
        <w:t xml:space="preserve">we </w:t>
      </w:r>
      <w:r w:rsidR="00E7594E" w:rsidRPr="001F3D2A">
        <w:rPr>
          <w:rFonts w:ascii="Century Gothic" w:hAnsi="Century Gothic"/>
          <w:color w:val="000000" w:themeColor="text1"/>
          <w:sz w:val="20"/>
          <w:szCs w:val="20"/>
        </w:rPr>
        <w:t>consider</w:t>
      </w:r>
      <w:r>
        <w:rPr>
          <w:rFonts w:ascii="Century Gothic" w:hAnsi="Century Gothic"/>
          <w:color w:val="000000" w:themeColor="text1"/>
          <w:sz w:val="20"/>
          <w:szCs w:val="20"/>
        </w:rPr>
        <w:t xml:space="preserve"> a need for </w:t>
      </w:r>
      <w:r w:rsidR="00E7594E" w:rsidRPr="001F3D2A">
        <w:rPr>
          <w:rFonts w:ascii="Century Gothic" w:hAnsi="Century Gothic"/>
          <w:color w:val="000000" w:themeColor="text1"/>
          <w:sz w:val="20"/>
          <w:szCs w:val="20"/>
        </w:rPr>
        <w:t>a</w:t>
      </w:r>
      <w:r w:rsidR="00627A01" w:rsidRPr="001F3D2A">
        <w:rPr>
          <w:rFonts w:ascii="Century Gothic" w:hAnsi="Century Gothic"/>
          <w:color w:val="000000" w:themeColor="text1"/>
          <w:sz w:val="20"/>
          <w:szCs w:val="20"/>
        </w:rPr>
        <w:t>n exemption for</w:t>
      </w:r>
      <w:r w:rsidR="00120144">
        <w:rPr>
          <w:rFonts w:ascii="Century Gothic" w:hAnsi="Century Gothic"/>
          <w:color w:val="000000" w:themeColor="text1"/>
          <w:sz w:val="20"/>
          <w:szCs w:val="20"/>
        </w:rPr>
        <w:t xml:space="preserve"> intermediaries who are also responsible to report this data to the </w:t>
      </w:r>
      <w:r w:rsidR="00627A01" w:rsidRPr="001F3D2A">
        <w:rPr>
          <w:rFonts w:ascii="Century Gothic" w:hAnsi="Century Gothic"/>
          <w:color w:val="000000" w:themeColor="text1"/>
          <w:sz w:val="20"/>
          <w:szCs w:val="20"/>
        </w:rPr>
        <w:t>BOM</w:t>
      </w:r>
      <w:r w:rsidR="00486580">
        <w:rPr>
          <w:rFonts w:ascii="Century Gothic" w:hAnsi="Century Gothic"/>
          <w:color w:val="000000" w:themeColor="text1"/>
          <w:sz w:val="20"/>
          <w:szCs w:val="20"/>
        </w:rPr>
        <w:t xml:space="preserve"> (likely data under obligation 1)</w:t>
      </w:r>
      <w:r w:rsidR="00120144">
        <w:rPr>
          <w:rFonts w:ascii="Century Gothic" w:hAnsi="Century Gothic"/>
          <w:color w:val="000000" w:themeColor="text1"/>
          <w:sz w:val="20"/>
          <w:szCs w:val="20"/>
        </w:rPr>
        <w:t xml:space="preserve">. Acknowledging that the BOM will be the holder of these records. </w:t>
      </w:r>
    </w:p>
    <w:p w14:paraId="584A6912" w14:textId="222C85ED" w:rsidR="002D3BE9" w:rsidRPr="009D65AC" w:rsidRDefault="002D3BE9" w:rsidP="009D65AC">
      <w:pPr>
        <w:pStyle w:val="ListParagraph"/>
        <w:numPr>
          <w:ilvl w:val="1"/>
          <w:numId w:val="8"/>
        </w:numPr>
        <w:jc w:val="both"/>
        <w:rPr>
          <w:rFonts w:ascii="Century Gothic" w:hAnsi="Century Gothic"/>
          <w:color w:val="000000" w:themeColor="text1"/>
          <w:sz w:val="20"/>
          <w:szCs w:val="20"/>
          <w:u w:val="single"/>
        </w:rPr>
      </w:pPr>
      <w:r w:rsidRPr="009D65AC">
        <w:rPr>
          <w:rFonts w:ascii="Century Gothic" w:hAnsi="Century Gothic"/>
          <w:color w:val="000000" w:themeColor="text1"/>
          <w:sz w:val="20"/>
          <w:szCs w:val="20"/>
          <w:u w:val="single"/>
        </w:rPr>
        <w:t>Client ledger accounts for statutory trust accounting</w:t>
      </w:r>
    </w:p>
    <w:p w14:paraId="3A40EC9D" w14:textId="2CCD29C0" w:rsidR="002D3BE9" w:rsidRPr="002D3BE9" w:rsidRDefault="00135BC1" w:rsidP="002D3BE9">
      <w:pPr>
        <w:jc w:val="both"/>
        <w:rPr>
          <w:rFonts w:ascii="Century Gothic" w:hAnsi="Century Gothic"/>
          <w:color w:val="000000" w:themeColor="text1"/>
          <w:sz w:val="20"/>
          <w:szCs w:val="20"/>
        </w:rPr>
      </w:pPr>
      <w:r w:rsidRPr="00135BC1">
        <w:rPr>
          <w:rFonts w:ascii="Century Gothic" w:hAnsi="Century Gothic"/>
          <w:color w:val="000000" w:themeColor="text1"/>
          <w:sz w:val="20"/>
          <w:szCs w:val="20"/>
        </w:rPr>
        <w:t xml:space="preserve">No comment. </w:t>
      </w:r>
    </w:p>
    <w:p w14:paraId="67C2092A" w14:textId="77777777" w:rsidR="002D3BE9" w:rsidRDefault="002D3BE9" w:rsidP="002D3BE9">
      <w:pPr>
        <w:jc w:val="both"/>
        <w:rPr>
          <w:rFonts w:ascii="Century Gothic" w:hAnsi="Century Gothic"/>
          <w:color w:val="000000" w:themeColor="text1"/>
          <w:sz w:val="20"/>
          <w:szCs w:val="20"/>
          <w:u w:val="single"/>
        </w:rPr>
      </w:pPr>
      <w:r w:rsidRPr="00135BC1">
        <w:rPr>
          <w:rFonts w:ascii="Century Gothic" w:hAnsi="Century Gothic"/>
          <w:color w:val="000000" w:themeColor="text1"/>
          <w:sz w:val="20"/>
          <w:szCs w:val="20"/>
          <w:u w:val="single"/>
        </w:rPr>
        <w:t>2.1 Designation of trust accounts</w:t>
      </w:r>
    </w:p>
    <w:p w14:paraId="5FACC3C1" w14:textId="51928CE1" w:rsidR="00135BC1" w:rsidRPr="00763BAD" w:rsidRDefault="00763BAD" w:rsidP="002D3BE9">
      <w:pPr>
        <w:jc w:val="both"/>
        <w:rPr>
          <w:rFonts w:ascii="Century Gothic" w:hAnsi="Century Gothic"/>
          <w:color w:val="000000" w:themeColor="text1"/>
          <w:sz w:val="20"/>
          <w:szCs w:val="20"/>
        </w:rPr>
      </w:pPr>
      <w:r w:rsidRPr="00763BAD">
        <w:rPr>
          <w:rFonts w:ascii="Century Gothic" w:hAnsi="Century Gothic"/>
          <w:color w:val="000000" w:themeColor="text1"/>
          <w:sz w:val="20"/>
          <w:szCs w:val="20"/>
        </w:rPr>
        <w:t>No comment.</w:t>
      </w:r>
    </w:p>
    <w:p w14:paraId="19E69110" w14:textId="77777777" w:rsidR="002D3BE9" w:rsidRDefault="002D3BE9" w:rsidP="002D3BE9">
      <w:pPr>
        <w:jc w:val="both"/>
        <w:rPr>
          <w:rFonts w:ascii="Century Gothic" w:hAnsi="Century Gothic"/>
          <w:color w:val="000000" w:themeColor="text1"/>
          <w:sz w:val="20"/>
          <w:szCs w:val="20"/>
          <w:u w:val="single"/>
        </w:rPr>
      </w:pPr>
      <w:r w:rsidRPr="00135BC1">
        <w:rPr>
          <w:rFonts w:ascii="Century Gothic" w:hAnsi="Century Gothic"/>
          <w:color w:val="000000" w:themeColor="text1"/>
          <w:sz w:val="20"/>
          <w:szCs w:val="20"/>
          <w:u w:val="single"/>
        </w:rPr>
        <w:t xml:space="preserve">2.2 Approved form for trust account statements and audit reports </w:t>
      </w:r>
    </w:p>
    <w:p w14:paraId="79D44549" w14:textId="72A712EA" w:rsidR="00763BAD" w:rsidRPr="00763BAD" w:rsidRDefault="00763BAD" w:rsidP="002D3BE9">
      <w:pPr>
        <w:jc w:val="both"/>
        <w:rPr>
          <w:rFonts w:ascii="Century Gothic" w:hAnsi="Century Gothic"/>
          <w:color w:val="000000" w:themeColor="text1"/>
          <w:sz w:val="20"/>
          <w:szCs w:val="20"/>
        </w:rPr>
      </w:pPr>
      <w:r w:rsidRPr="00763BAD">
        <w:rPr>
          <w:rFonts w:ascii="Century Gothic" w:hAnsi="Century Gothic"/>
          <w:color w:val="000000" w:themeColor="text1"/>
          <w:sz w:val="20"/>
          <w:szCs w:val="20"/>
        </w:rPr>
        <w:t>No comment.</w:t>
      </w:r>
    </w:p>
    <w:p w14:paraId="3D57CF81" w14:textId="77777777" w:rsidR="002D3BE9" w:rsidRDefault="002D3BE9" w:rsidP="002D3BE9">
      <w:pPr>
        <w:jc w:val="both"/>
        <w:rPr>
          <w:rFonts w:ascii="Century Gothic" w:hAnsi="Century Gothic"/>
          <w:color w:val="000000" w:themeColor="text1"/>
          <w:sz w:val="20"/>
          <w:szCs w:val="20"/>
          <w:u w:val="single"/>
        </w:rPr>
      </w:pPr>
      <w:r w:rsidRPr="00135BC1">
        <w:rPr>
          <w:rFonts w:ascii="Century Gothic" w:hAnsi="Century Gothic"/>
          <w:color w:val="000000" w:themeColor="text1"/>
          <w:sz w:val="20"/>
          <w:szCs w:val="20"/>
          <w:u w:val="single"/>
        </w:rPr>
        <w:t xml:space="preserve">2.3 Information and matters for trust account statements </w:t>
      </w:r>
    </w:p>
    <w:p w14:paraId="6988385D" w14:textId="1937536E" w:rsidR="00763BAD" w:rsidRPr="00763BAD" w:rsidRDefault="00763BAD" w:rsidP="002D3BE9">
      <w:pPr>
        <w:jc w:val="both"/>
        <w:rPr>
          <w:rFonts w:ascii="Century Gothic" w:hAnsi="Century Gothic"/>
          <w:color w:val="000000" w:themeColor="text1"/>
          <w:sz w:val="20"/>
          <w:szCs w:val="20"/>
        </w:rPr>
      </w:pPr>
      <w:r w:rsidRPr="00763BAD">
        <w:rPr>
          <w:rFonts w:ascii="Century Gothic" w:hAnsi="Century Gothic"/>
          <w:color w:val="000000" w:themeColor="text1"/>
          <w:sz w:val="20"/>
          <w:szCs w:val="20"/>
        </w:rPr>
        <w:t>No comment.</w:t>
      </w:r>
    </w:p>
    <w:p w14:paraId="6CC066A5" w14:textId="77777777" w:rsidR="002D3BE9" w:rsidRDefault="002D3BE9" w:rsidP="002D3BE9">
      <w:pPr>
        <w:jc w:val="both"/>
        <w:rPr>
          <w:rFonts w:ascii="Century Gothic" w:hAnsi="Century Gothic"/>
          <w:color w:val="000000" w:themeColor="text1"/>
          <w:sz w:val="20"/>
          <w:szCs w:val="20"/>
          <w:u w:val="single"/>
        </w:rPr>
      </w:pPr>
      <w:r w:rsidRPr="00135BC1">
        <w:rPr>
          <w:rFonts w:ascii="Century Gothic" w:hAnsi="Century Gothic"/>
          <w:color w:val="000000" w:themeColor="text1"/>
          <w:sz w:val="20"/>
          <w:szCs w:val="20"/>
          <w:u w:val="single"/>
        </w:rPr>
        <w:t>2.4 Information and matters for trust account audit reports</w:t>
      </w:r>
    </w:p>
    <w:p w14:paraId="5AE49E4F" w14:textId="73D3F213" w:rsidR="00763BAD" w:rsidRPr="00763BAD" w:rsidRDefault="00763BAD" w:rsidP="002D3BE9">
      <w:pPr>
        <w:jc w:val="both"/>
        <w:rPr>
          <w:rFonts w:ascii="Century Gothic" w:hAnsi="Century Gothic"/>
          <w:color w:val="000000" w:themeColor="text1"/>
          <w:sz w:val="20"/>
          <w:szCs w:val="20"/>
        </w:rPr>
      </w:pPr>
      <w:r w:rsidRPr="00763BAD">
        <w:rPr>
          <w:rFonts w:ascii="Century Gothic" w:hAnsi="Century Gothic"/>
          <w:color w:val="000000" w:themeColor="text1"/>
          <w:sz w:val="20"/>
          <w:szCs w:val="20"/>
        </w:rPr>
        <w:t>No comment.</w:t>
      </w:r>
    </w:p>
    <w:p w14:paraId="74950B12" w14:textId="2C2EBF87" w:rsidR="0037725C" w:rsidRDefault="002D3BE9" w:rsidP="002D3BE9">
      <w:pPr>
        <w:jc w:val="both"/>
        <w:rPr>
          <w:rFonts w:ascii="Century Gothic" w:hAnsi="Century Gothic"/>
          <w:color w:val="000000" w:themeColor="text1"/>
          <w:sz w:val="20"/>
          <w:szCs w:val="20"/>
          <w:u w:val="single"/>
        </w:rPr>
      </w:pPr>
      <w:r w:rsidRPr="00135BC1">
        <w:rPr>
          <w:rFonts w:ascii="Century Gothic" w:hAnsi="Century Gothic"/>
          <w:color w:val="000000" w:themeColor="text1"/>
          <w:sz w:val="20"/>
          <w:szCs w:val="20"/>
          <w:u w:val="single"/>
        </w:rPr>
        <w:t>2.5 Eligibility requirements for persons preparing trust account audit reports</w:t>
      </w:r>
    </w:p>
    <w:p w14:paraId="42F65650" w14:textId="26E23394" w:rsidR="00763BAD" w:rsidRPr="00763BAD" w:rsidRDefault="00763BAD" w:rsidP="002D3BE9">
      <w:pPr>
        <w:jc w:val="both"/>
        <w:rPr>
          <w:rFonts w:ascii="Century Gothic" w:hAnsi="Century Gothic"/>
          <w:color w:val="000000" w:themeColor="text1"/>
          <w:sz w:val="20"/>
          <w:szCs w:val="20"/>
        </w:rPr>
      </w:pPr>
      <w:r w:rsidRPr="00763BAD">
        <w:rPr>
          <w:rFonts w:ascii="Century Gothic" w:hAnsi="Century Gothic"/>
          <w:color w:val="000000" w:themeColor="text1"/>
          <w:sz w:val="20"/>
          <w:szCs w:val="20"/>
        </w:rPr>
        <w:t>No comment.</w:t>
      </w:r>
    </w:p>
    <w:p w14:paraId="61F68778" w14:textId="77777777" w:rsidR="00763BAD" w:rsidRDefault="00763BAD" w:rsidP="008E3D53">
      <w:p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We thank you for the opportunity to provide this additional feedback and would </w:t>
      </w:r>
      <w:r w:rsidR="00C77101" w:rsidRPr="006A658B">
        <w:rPr>
          <w:rFonts w:ascii="Century Gothic" w:hAnsi="Century Gothic"/>
          <w:color w:val="000000" w:themeColor="text1"/>
          <w:sz w:val="20"/>
          <w:szCs w:val="20"/>
        </w:rPr>
        <w:t>welcome</w:t>
      </w:r>
      <w:r w:rsidR="00084331" w:rsidRPr="006A658B">
        <w:rPr>
          <w:rFonts w:ascii="Century Gothic" w:hAnsi="Century Gothic"/>
          <w:color w:val="000000" w:themeColor="text1"/>
          <w:sz w:val="20"/>
          <w:szCs w:val="20"/>
        </w:rPr>
        <w:t xml:space="preserve"> the opportunity to </w:t>
      </w:r>
      <w:r w:rsidR="000B366D">
        <w:rPr>
          <w:rFonts w:ascii="Century Gothic" w:hAnsi="Century Gothic"/>
          <w:color w:val="000000" w:themeColor="text1"/>
          <w:sz w:val="20"/>
          <w:szCs w:val="20"/>
        </w:rPr>
        <w:t>meet and</w:t>
      </w:r>
      <w:r w:rsidR="009C36CE">
        <w:rPr>
          <w:rFonts w:ascii="Century Gothic" w:hAnsi="Century Gothic"/>
          <w:color w:val="000000" w:themeColor="text1"/>
          <w:sz w:val="20"/>
          <w:szCs w:val="20"/>
        </w:rPr>
        <w:t xml:space="preserve"> discuss solutions to these issues with you. </w:t>
      </w:r>
    </w:p>
    <w:p w14:paraId="204DEA01" w14:textId="38EC72A2" w:rsidR="008E3D53" w:rsidRDefault="009C36CE" w:rsidP="008E3D53">
      <w:pPr>
        <w:jc w:val="both"/>
        <w:rPr>
          <w:rFonts w:ascii="Century Gothic" w:hAnsi="Century Gothic"/>
          <w:noProof/>
          <w:color w:val="000000" w:themeColor="text1"/>
          <w:sz w:val="20"/>
          <w:szCs w:val="20"/>
        </w:rPr>
      </w:pPr>
      <w:r>
        <w:rPr>
          <w:rFonts w:ascii="Century Gothic" w:hAnsi="Century Gothic"/>
          <w:color w:val="000000" w:themeColor="text1"/>
          <w:sz w:val="20"/>
          <w:szCs w:val="20"/>
        </w:rPr>
        <w:t>Please</w:t>
      </w:r>
      <w:r w:rsidR="00084331" w:rsidRPr="006A658B">
        <w:rPr>
          <w:rFonts w:ascii="Century Gothic" w:hAnsi="Century Gothic"/>
          <w:color w:val="000000" w:themeColor="text1"/>
          <w:sz w:val="20"/>
          <w:szCs w:val="20"/>
        </w:rPr>
        <w:t xml:space="preserve"> feel free to contact Zara </w:t>
      </w:r>
      <w:r w:rsidR="00EB68BB">
        <w:rPr>
          <w:rFonts w:ascii="Century Gothic" w:hAnsi="Century Gothic"/>
          <w:color w:val="000000" w:themeColor="text1"/>
          <w:sz w:val="20"/>
          <w:szCs w:val="20"/>
        </w:rPr>
        <w:t>and t</w:t>
      </w:r>
      <w:r w:rsidR="00084331" w:rsidRPr="006A658B">
        <w:rPr>
          <w:rFonts w:ascii="Century Gothic" w:hAnsi="Century Gothic"/>
          <w:color w:val="000000" w:themeColor="text1"/>
          <w:sz w:val="20"/>
          <w:szCs w:val="20"/>
        </w:rPr>
        <w:t>hank you for your attention to this matter.</w:t>
      </w:r>
    </w:p>
    <w:p w14:paraId="76E90288" w14:textId="49B7DF89" w:rsidR="00084331" w:rsidRDefault="00084331" w:rsidP="00084331">
      <w:pPr>
        <w:spacing w:after="0" w:line="240" w:lineRule="auto"/>
        <w:rPr>
          <w:rFonts w:ascii="Century Gothic" w:hAnsi="Century Gothic"/>
          <w:color w:val="000000" w:themeColor="text1"/>
          <w:sz w:val="20"/>
          <w:szCs w:val="20"/>
        </w:rPr>
      </w:pPr>
    </w:p>
    <w:p w14:paraId="6A69C056" w14:textId="77777777" w:rsidR="00763BAD" w:rsidRPr="006A658B" w:rsidRDefault="00763BAD" w:rsidP="00084331">
      <w:pPr>
        <w:spacing w:after="0" w:line="240" w:lineRule="auto"/>
        <w:rPr>
          <w:rFonts w:ascii="Century Gothic" w:hAnsi="Century Gothic"/>
          <w:color w:val="000000" w:themeColor="text1"/>
          <w:sz w:val="20"/>
          <w:szCs w:val="20"/>
        </w:rPr>
      </w:pPr>
    </w:p>
    <w:p w14:paraId="64130055" w14:textId="2C556984" w:rsidR="00084331" w:rsidRPr="006A658B" w:rsidRDefault="00084331" w:rsidP="00084331">
      <w:pPr>
        <w:spacing w:after="0" w:line="240" w:lineRule="auto"/>
        <w:rPr>
          <w:rFonts w:ascii="Century Gothic" w:hAnsi="Century Gothic"/>
          <w:color w:val="000000" w:themeColor="text1"/>
          <w:sz w:val="20"/>
          <w:szCs w:val="20"/>
        </w:rPr>
      </w:pPr>
      <w:r w:rsidRPr="006A658B">
        <w:rPr>
          <w:rFonts w:ascii="Century Gothic" w:hAnsi="Century Gothic"/>
          <w:color w:val="000000" w:themeColor="text1"/>
          <w:sz w:val="20"/>
          <w:szCs w:val="20"/>
        </w:rPr>
        <w:t>Mrs Zara Lowien</w:t>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p>
    <w:p w14:paraId="4800B07E" w14:textId="63BDBA6D" w:rsidR="00084331" w:rsidRPr="006A658B" w:rsidRDefault="00084331" w:rsidP="00084331">
      <w:pPr>
        <w:spacing w:after="0" w:line="240" w:lineRule="auto"/>
        <w:rPr>
          <w:rFonts w:ascii="Century Gothic" w:hAnsi="Century Gothic"/>
          <w:color w:val="000000" w:themeColor="text1"/>
          <w:sz w:val="20"/>
          <w:szCs w:val="20"/>
        </w:rPr>
      </w:pPr>
      <w:r w:rsidRPr="006A658B">
        <w:rPr>
          <w:rFonts w:ascii="Century Gothic" w:hAnsi="Century Gothic"/>
          <w:color w:val="000000" w:themeColor="text1"/>
          <w:sz w:val="20"/>
          <w:szCs w:val="20"/>
        </w:rPr>
        <w:t>Chief Executive Officer</w:t>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p>
    <w:p w14:paraId="572B451B" w14:textId="00A5E0C3" w:rsidR="000945C2" w:rsidRDefault="00084331" w:rsidP="00365191">
      <w:pPr>
        <w:spacing w:after="0" w:line="240" w:lineRule="auto"/>
      </w:pPr>
      <w:r w:rsidRPr="006A658B">
        <w:rPr>
          <w:rFonts w:ascii="Century Gothic" w:hAnsi="Century Gothic"/>
          <w:color w:val="000000" w:themeColor="text1"/>
          <w:sz w:val="20"/>
          <w:szCs w:val="20"/>
        </w:rPr>
        <w:t>National Irrigators’ Council</w:t>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Pr="006A658B">
        <w:rPr>
          <w:rFonts w:ascii="Century Gothic" w:hAnsi="Century Gothic"/>
          <w:color w:val="000000" w:themeColor="text1"/>
          <w:sz w:val="20"/>
          <w:szCs w:val="20"/>
        </w:rPr>
        <w:tab/>
      </w:r>
      <w:r w:rsidR="00E83279">
        <w:t xml:space="preserve"> </w:t>
      </w:r>
    </w:p>
    <w:sectPr w:rsidR="000945C2" w:rsidSect="00713235">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A4E8A" w14:textId="77777777" w:rsidR="009C34D9" w:rsidRDefault="009C34D9" w:rsidP="00240539">
      <w:pPr>
        <w:spacing w:after="0" w:line="240" w:lineRule="auto"/>
      </w:pPr>
      <w:r>
        <w:separator/>
      </w:r>
    </w:p>
  </w:endnote>
  <w:endnote w:type="continuationSeparator" w:id="0">
    <w:p w14:paraId="42013529" w14:textId="77777777" w:rsidR="009C34D9" w:rsidRDefault="009C34D9" w:rsidP="00240539">
      <w:pPr>
        <w:spacing w:after="0" w:line="240" w:lineRule="auto"/>
      </w:pPr>
      <w:r>
        <w:continuationSeparator/>
      </w:r>
    </w:p>
  </w:endnote>
  <w:endnote w:type="continuationNotice" w:id="1">
    <w:p w14:paraId="04444791" w14:textId="77777777" w:rsidR="009C34D9" w:rsidRDefault="009C3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C4A9" w14:textId="77777777" w:rsidR="00763BAD" w:rsidRDefault="00763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778640"/>
      <w:docPartObj>
        <w:docPartGallery w:val="Page Numbers (Bottom of Page)"/>
        <w:docPartUnique/>
      </w:docPartObj>
    </w:sdtPr>
    <w:sdtEndPr>
      <w:rPr>
        <w:noProof/>
      </w:rPr>
    </w:sdtEndPr>
    <w:sdtContent>
      <w:p w14:paraId="55C8D1F1" w14:textId="40BDC939" w:rsidR="00763BAD" w:rsidRDefault="00763BAD">
        <w:pPr>
          <w:pStyle w:val="Footer"/>
        </w:pPr>
        <w:r>
          <w:rPr>
            <w:noProof/>
          </w:rPr>
          <w:drawing>
            <wp:anchor distT="0" distB="0" distL="114300" distR="114300" simplePos="0" relativeHeight="251657728" behindDoc="1" locked="0" layoutInCell="1" allowOverlap="1" wp14:anchorId="05A414EB" wp14:editId="578CDB98">
              <wp:simplePos x="0" y="0"/>
              <wp:positionH relativeFrom="margin">
                <wp:align>right</wp:align>
              </wp:positionH>
              <wp:positionV relativeFrom="paragraph">
                <wp:posOffset>13335</wp:posOffset>
              </wp:positionV>
              <wp:extent cx="371475" cy="371475"/>
              <wp:effectExtent l="0" t="0" r="9525" b="9525"/>
              <wp:wrapTight wrapText="bothSides">
                <wp:wrapPolygon edited="0">
                  <wp:start x="12185" y="0"/>
                  <wp:lineTo x="0" y="2215"/>
                  <wp:lineTo x="0" y="17723"/>
                  <wp:lineTo x="14400" y="21046"/>
                  <wp:lineTo x="19938" y="21046"/>
                  <wp:lineTo x="21046" y="14400"/>
                  <wp:lineTo x="21046" y="9969"/>
                  <wp:lineTo x="17723" y="0"/>
                  <wp:lineTo x="12185" y="0"/>
                </wp:wrapPolygon>
              </wp:wrapTight>
              <wp:docPr id="867093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93477" name="Picture 867093477"/>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p>
      <w:p w14:paraId="4182546C" w14:textId="2A66B1C0" w:rsidR="00763BAD" w:rsidRDefault="00763BA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8FD503D" w14:textId="68F7F0A9" w:rsidR="00226781" w:rsidRPr="001F194E" w:rsidRDefault="00226781" w:rsidP="001F1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B00C" w14:textId="77777777" w:rsidR="001F194E" w:rsidRPr="00AF7A3F" w:rsidRDefault="001F194E" w:rsidP="001F194E">
    <w:pPr>
      <w:spacing w:after="0" w:line="240" w:lineRule="auto"/>
      <w:rPr>
        <w:rFonts w:ascii="Arial" w:hAnsi="Arial" w:cs="Arial"/>
        <w:b/>
        <w:bCs/>
        <w:color w:val="0072BC"/>
        <w:sz w:val="21"/>
        <w:szCs w:val="21"/>
      </w:rPr>
    </w:pPr>
  </w:p>
  <w:p w14:paraId="6F9C917E" w14:textId="77777777" w:rsidR="00713235" w:rsidRPr="00713235" w:rsidRDefault="00713235" w:rsidP="001F194E">
    <w:pPr>
      <w:pStyle w:val="Footer"/>
      <w:pBdr>
        <w:top w:val="single" w:sz="4" w:space="1" w:color="0072BC"/>
      </w:pBdr>
      <w:jc w:val="center"/>
      <w:rPr>
        <w:rFonts w:ascii="Century Gothic" w:hAnsi="Century Gothic"/>
        <w:color w:val="0072BC"/>
        <w:sz w:val="4"/>
        <w:szCs w:val="4"/>
      </w:rPr>
    </w:pPr>
  </w:p>
  <w:p w14:paraId="551C75D4" w14:textId="3C0D91BB" w:rsidR="001F194E" w:rsidRPr="00AF7A3F" w:rsidRDefault="001F194E" w:rsidP="001F194E">
    <w:pPr>
      <w:pStyle w:val="Footer"/>
      <w:pBdr>
        <w:top w:val="single" w:sz="4" w:space="1" w:color="0072BC"/>
      </w:pBdr>
      <w:jc w:val="center"/>
      <w:rPr>
        <w:rFonts w:ascii="Century Gothic" w:hAnsi="Century Gothic"/>
        <w:color w:val="0072BC"/>
        <w:sz w:val="18"/>
        <w:szCs w:val="18"/>
      </w:rPr>
    </w:pPr>
    <w:r w:rsidRPr="00AF7A3F">
      <w:rPr>
        <w:rFonts w:ascii="Century Gothic" w:hAnsi="Century Gothic"/>
        <w:color w:val="0072BC"/>
        <w:sz w:val="18"/>
        <w:szCs w:val="18"/>
      </w:rPr>
      <w:t>National Press Club, Suite 8, 16 National Circuit, Barton ACT 2600 | 02 6273 3637| ABN: 92 133 308 326</w:t>
    </w:r>
  </w:p>
  <w:p w14:paraId="7105D343" w14:textId="1DF470D0" w:rsidR="001F194E" w:rsidRPr="001F194E" w:rsidRDefault="001F194E" w:rsidP="001F194E">
    <w:pPr>
      <w:pStyle w:val="Footer"/>
      <w:jc w:val="center"/>
      <w:rPr>
        <w:rFonts w:ascii="Century Gothic" w:hAnsi="Century Gothic"/>
        <w:color w:val="0072BC"/>
        <w:sz w:val="18"/>
        <w:szCs w:val="18"/>
      </w:rPr>
    </w:pPr>
    <w:r w:rsidRPr="00AF7A3F">
      <w:rPr>
        <w:rFonts w:ascii="Century Gothic" w:hAnsi="Century Gothic"/>
        <w:color w:val="0072BC"/>
        <w:sz w:val="18"/>
        <w:szCs w:val="18"/>
      </w:rPr>
      <w:t xml:space="preserve">E: </w:t>
    </w:r>
    <w:r w:rsidRPr="00713235">
      <w:rPr>
        <w:rFonts w:ascii="Century Gothic" w:hAnsi="Century Gothic"/>
        <w:color w:val="0072BC"/>
        <w:sz w:val="18"/>
        <w:szCs w:val="18"/>
      </w:rPr>
      <w:t>ceo@irrigators.org.au</w:t>
    </w:r>
    <w:r w:rsidRPr="00AF7A3F">
      <w:rPr>
        <w:rFonts w:ascii="Century Gothic" w:hAnsi="Century Gothic"/>
        <w:color w:val="0072BC"/>
        <w:sz w:val="18"/>
        <w:szCs w:val="18"/>
      </w:rPr>
      <w:t xml:space="preserve"> | W: </w:t>
    </w:r>
    <w:r w:rsidRPr="00713235">
      <w:rPr>
        <w:rFonts w:ascii="Century Gothic" w:hAnsi="Century Gothic"/>
        <w:color w:val="0072BC"/>
        <w:sz w:val="18"/>
        <w:szCs w:val="18"/>
      </w:rPr>
      <w:t>www.irrigators.org.au</w:t>
    </w:r>
    <w:r w:rsidRPr="00AF7A3F">
      <w:rPr>
        <w:rFonts w:ascii="Century Gothic" w:hAnsi="Century Gothic"/>
        <w:color w:val="0072BC"/>
        <w:sz w:val="18"/>
        <w:szCs w:val="18"/>
      </w:rPr>
      <w:t xml:space="preserve"> | T: @Nat_Irrigators | F: @IrrigatorsCouncil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A39FB" w14:textId="77777777" w:rsidR="009C34D9" w:rsidRDefault="009C34D9" w:rsidP="00240539">
      <w:pPr>
        <w:spacing w:after="0" w:line="240" w:lineRule="auto"/>
      </w:pPr>
      <w:r>
        <w:separator/>
      </w:r>
    </w:p>
  </w:footnote>
  <w:footnote w:type="continuationSeparator" w:id="0">
    <w:p w14:paraId="1828F612" w14:textId="77777777" w:rsidR="009C34D9" w:rsidRDefault="009C34D9" w:rsidP="00240539">
      <w:pPr>
        <w:spacing w:after="0" w:line="240" w:lineRule="auto"/>
      </w:pPr>
      <w:r>
        <w:continuationSeparator/>
      </w:r>
    </w:p>
  </w:footnote>
  <w:footnote w:type="continuationNotice" w:id="1">
    <w:p w14:paraId="787F5FE6" w14:textId="77777777" w:rsidR="009C34D9" w:rsidRDefault="009C34D9">
      <w:pPr>
        <w:spacing w:after="0" w:line="240" w:lineRule="auto"/>
      </w:pPr>
    </w:p>
  </w:footnote>
  <w:footnote w:id="2">
    <w:p w14:paraId="2BB7B09C" w14:textId="43652AB0" w:rsidR="00CA63A6" w:rsidRPr="00BC32F4" w:rsidRDefault="00CA63A6">
      <w:pPr>
        <w:pStyle w:val="FootnoteText"/>
        <w:rPr>
          <w:rFonts w:ascii="Century Gothic" w:hAnsi="Century Gothic"/>
          <w:lang w:val="en-US"/>
        </w:rPr>
      </w:pPr>
      <w:r w:rsidRPr="00BC32F4">
        <w:rPr>
          <w:rStyle w:val="FootnoteReference"/>
          <w:rFonts w:ascii="Century Gothic" w:hAnsi="Century Gothic"/>
        </w:rPr>
        <w:footnoteRef/>
      </w:r>
      <w:r w:rsidRPr="00BC32F4">
        <w:rPr>
          <w:rFonts w:ascii="Century Gothic" w:hAnsi="Century Gothic"/>
        </w:rPr>
        <w:t xml:space="preserve"> </w:t>
      </w:r>
      <w:r w:rsidR="00E74592" w:rsidRPr="00BC32F4">
        <w:rPr>
          <w:rFonts w:ascii="Century Gothic" w:hAnsi="Century Gothic"/>
        </w:rPr>
        <w:t>https://oia.pmc.gov.au/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98C0" w14:textId="77777777" w:rsidR="00763BAD" w:rsidRDefault="00763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020171"/>
      <w:docPartObj>
        <w:docPartGallery w:val="Watermarks"/>
        <w:docPartUnique/>
      </w:docPartObj>
    </w:sdtPr>
    <w:sdtContent>
      <w:p w14:paraId="371C6B6F" w14:textId="7E756015" w:rsidR="00240539" w:rsidRDefault="00000000" w:rsidP="00240539">
        <w:pPr>
          <w:pStyle w:val="Header"/>
          <w:jc w:val="center"/>
        </w:pPr>
        <w:r>
          <w:rPr>
            <w:noProof/>
          </w:rPr>
          <w:pict w14:anchorId="45A58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20CF" w14:textId="74E67BBA" w:rsidR="009139D8" w:rsidRDefault="009139D8" w:rsidP="001F194E">
    <w:pPr>
      <w:pStyle w:val="Header"/>
      <w:jc w:val="center"/>
    </w:pPr>
    <w:r>
      <w:rPr>
        <w:rFonts w:ascii="Century Gothic" w:hAnsi="Century Gothic"/>
        <w:noProof/>
      </w:rPr>
      <w:drawing>
        <wp:anchor distT="0" distB="0" distL="114300" distR="114300" simplePos="0" relativeHeight="251656704" behindDoc="1" locked="0" layoutInCell="1" allowOverlap="1" wp14:anchorId="3370AB77" wp14:editId="4E99BE54">
          <wp:simplePos x="0" y="0"/>
          <wp:positionH relativeFrom="margin">
            <wp:align>center</wp:align>
          </wp:positionH>
          <wp:positionV relativeFrom="paragraph">
            <wp:posOffset>-269240</wp:posOffset>
          </wp:positionV>
          <wp:extent cx="4677539" cy="1068070"/>
          <wp:effectExtent l="0" t="0" r="8890" b="0"/>
          <wp:wrapNone/>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77539"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E5FA" w14:textId="77777777" w:rsidR="009139D8" w:rsidRDefault="009139D8" w:rsidP="009139D8">
    <w:pPr>
      <w:spacing w:after="0" w:line="240" w:lineRule="auto"/>
      <w:jc w:val="center"/>
      <w:rPr>
        <w:rFonts w:ascii="Century Gothic" w:hAnsi="Century Gothic"/>
        <w:b/>
        <w:bCs/>
        <w:sz w:val="56"/>
        <w:szCs w:val="56"/>
        <w:lang w:val="en-US"/>
      </w:rPr>
    </w:pPr>
  </w:p>
  <w:p w14:paraId="05D60E9F" w14:textId="614BA532" w:rsidR="001F194E" w:rsidRDefault="001F194E" w:rsidP="001F19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DE8"/>
    <w:multiLevelType w:val="multilevel"/>
    <w:tmpl w:val="6AA826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E64CAF"/>
    <w:multiLevelType w:val="hybridMultilevel"/>
    <w:tmpl w:val="1E4A7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6B67EB5"/>
    <w:multiLevelType w:val="hybridMultilevel"/>
    <w:tmpl w:val="5D48113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49BA1B50"/>
    <w:multiLevelType w:val="hybridMultilevel"/>
    <w:tmpl w:val="26B2F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9BA331D"/>
    <w:multiLevelType w:val="multilevel"/>
    <w:tmpl w:val="38103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B62262"/>
    <w:multiLevelType w:val="hybridMultilevel"/>
    <w:tmpl w:val="D9F89B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360C23"/>
    <w:multiLevelType w:val="hybridMultilevel"/>
    <w:tmpl w:val="B7FCC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AA44C2"/>
    <w:multiLevelType w:val="hybridMultilevel"/>
    <w:tmpl w:val="25E2D93E"/>
    <w:lvl w:ilvl="0" w:tplc="8410EDFA">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1329064">
    <w:abstractNumId w:val="7"/>
  </w:num>
  <w:num w:numId="2" w16cid:durableId="874342809">
    <w:abstractNumId w:val="6"/>
  </w:num>
  <w:num w:numId="3" w16cid:durableId="664866548">
    <w:abstractNumId w:val="2"/>
  </w:num>
  <w:num w:numId="4" w16cid:durableId="134029124">
    <w:abstractNumId w:val="1"/>
  </w:num>
  <w:num w:numId="5" w16cid:durableId="1975090920">
    <w:abstractNumId w:val="5"/>
  </w:num>
  <w:num w:numId="6" w16cid:durableId="436027127">
    <w:abstractNumId w:val="3"/>
  </w:num>
  <w:num w:numId="7" w16cid:durableId="714309260">
    <w:abstractNumId w:val="4"/>
  </w:num>
  <w:num w:numId="8" w16cid:durableId="169013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39"/>
    <w:rsid w:val="000105C8"/>
    <w:rsid w:val="00011C0E"/>
    <w:rsid w:val="00013E90"/>
    <w:rsid w:val="00015362"/>
    <w:rsid w:val="000157B9"/>
    <w:rsid w:val="00021A55"/>
    <w:rsid w:val="00022D86"/>
    <w:rsid w:val="0002360D"/>
    <w:rsid w:val="00024631"/>
    <w:rsid w:val="000326B2"/>
    <w:rsid w:val="00035E1A"/>
    <w:rsid w:val="00041571"/>
    <w:rsid w:val="00043D78"/>
    <w:rsid w:val="0004651D"/>
    <w:rsid w:val="00047DF7"/>
    <w:rsid w:val="000533F5"/>
    <w:rsid w:val="000571A8"/>
    <w:rsid w:val="00061907"/>
    <w:rsid w:val="00064FFD"/>
    <w:rsid w:val="0006676A"/>
    <w:rsid w:val="00067440"/>
    <w:rsid w:val="00074846"/>
    <w:rsid w:val="000774D9"/>
    <w:rsid w:val="00077FD7"/>
    <w:rsid w:val="00083090"/>
    <w:rsid w:val="00084331"/>
    <w:rsid w:val="000945C2"/>
    <w:rsid w:val="00096D0D"/>
    <w:rsid w:val="0009724A"/>
    <w:rsid w:val="000A0089"/>
    <w:rsid w:val="000A67B8"/>
    <w:rsid w:val="000B13AD"/>
    <w:rsid w:val="000B18E4"/>
    <w:rsid w:val="000B366D"/>
    <w:rsid w:val="000C136F"/>
    <w:rsid w:val="000C64B3"/>
    <w:rsid w:val="000C6DEB"/>
    <w:rsid w:val="000D2E5B"/>
    <w:rsid w:val="000D3052"/>
    <w:rsid w:val="000D357A"/>
    <w:rsid w:val="000D47CB"/>
    <w:rsid w:val="000D642E"/>
    <w:rsid w:val="000D67E4"/>
    <w:rsid w:val="000D7093"/>
    <w:rsid w:val="000F05BF"/>
    <w:rsid w:val="000F3B74"/>
    <w:rsid w:val="00100B3E"/>
    <w:rsid w:val="00110112"/>
    <w:rsid w:val="00113359"/>
    <w:rsid w:val="00114269"/>
    <w:rsid w:val="00120144"/>
    <w:rsid w:val="00121827"/>
    <w:rsid w:val="001279E7"/>
    <w:rsid w:val="001329BB"/>
    <w:rsid w:val="0013545F"/>
    <w:rsid w:val="0013571D"/>
    <w:rsid w:val="00135BC1"/>
    <w:rsid w:val="001423FC"/>
    <w:rsid w:val="001428FE"/>
    <w:rsid w:val="00146872"/>
    <w:rsid w:val="00147486"/>
    <w:rsid w:val="0015016D"/>
    <w:rsid w:val="00151E08"/>
    <w:rsid w:val="001537BF"/>
    <w:rsid w:val="00164F4B"/>
    <w:rsid w:val="00165BD6"/>
    <w:rsid w:val="001674F3"/>
    <w:rsid w:val="00170484"/>
    <w:rsid w:val="00175F7F"/>
    <w:rsid w:val="00176D65"/>
    <w:rsid w:val="00192657"/>
    <w:rsid w:val="0019390D"/>
    <w:rsid w:val="00194B8D"/>
    <w:rsid w:val="001A00C4"/>
    <w:rsid w:val="001A4B60"/>
    <w:rsid w:val="001B36F0"/>
    <w:rsid w:val="001B4FE2"/>
    <w:rsid w:val="001C0706"/>
    <w:rsid w:val="001C105E"/>
    <w:rsid w:val="001C42CD"/>
    <w:rsid w:val="001C4F5A"/>
    <w:rsid w:val="001C6BBF"/>
    <w:rsid w:val="001D12AE"/>
    <w:rsid w:val="001D3833"/>
    <w:rsid w:val="001D790F"/>
    <w:rsid w:val="001E199F"/>
    <w:rsid w:val="001E3189"/>
    <w:rsid w:val="001E3AE3"/>
    <w:rsid w:val="001E4C27"/>
    <w:rsid w:val="001F194E"/>
    <w:rsid w:val="001F3D2A"/>
    <w:rsid w:val="0020321F"/>
    <w:rsid w:val="00204A80"/>
    <w:rsid w:val="00212F58"/>
    <w:rsid w:val="00214051"/>
    <w:rsid w:val="002216B7"/>
    <w:rsid w:val="00221FDA"/>
    <w:rsid w:val="002251D6"/>
    <w:rsid w:val="00225B3B"/>
    <w:rsid w:val="00226781"/>
    <w:rsid w:val="0023050A"/>
    <w:rsid w:val="002324E7"/>
    <w:rsid w:val="00233A88"/>
    <w:rsid w:val="002350DE"/>
    <w:rsid w:val="00236109"/>
    <w:rsid w:val="00236D88"/>
    <w:rsid w:val="00240539"/>
    <w:rsid w:val="002422B0"/>
    <w:rsid w:val="00243B91"/>
    <w:rsid w:val="00251B45"/>
    <w:rsid w:val="00252822"/>
    <w:rsid w:val="002553D7"/>
    <w:rsid w:val="00255D20"/>
    <w:rsid w:val="00261A7D"/>
    <w:rsid w:val="0026219B"/>
    <w:rsid w:val="0027127B"/>
    <w:rsid w:val="00271FC5"/>
    <w:rsid w:val="002751B4"/>
    <w:rsid w:val="00291952"/>
    <w:rsid w:val="00296975"/>
    <w:rsid w:val="002A0ABE"/>
    <w:rsid w:val="002A10B9"/>
    <w:rsid w:val="002A41F0"/>
    <w:rsid w:val="002A5C9A"/>
    <w:rsid w:val="002B13B6"/>
    <w:rsid w:val="002B54BB"/>
    <w:rsid w:val="002C284A"/>
    <w:rsid w:val="002C2DE6"/>
    <w:rsid w:val="002C4790"/>
    <w:rsid w:val="002C73F9"/>
    <w:rsid w:val="002C7A23"/>
    <w:rsid w:val="002D0E18"/>
    <w:rsid w:val="002D17BB"/>
    <w:rsid w:val="002D3647"/>
    <w:rsid w:val="002D3BE9"/>
    <w:rsid w:val="002D4F3E"/>
    <w:rsid w:val="002E74EF"/>
    <w:rsid w:val="002F0F50"/>
    <w:rsid w:val="002F1706"/>
    <w:rsid w:val="002F4A59"/>
    <w:rsid w:val="002F4EB0"/>
    <w:rsid w:val="00302C4F"/>
    <w:rsid w:val="00307A31"/>
    <w:rsid w:val="00311A1B"/>
    <w:rsid w:val="00314B35"/>
    <w:rsid w:val="003203B7"/>
    <w:rsid w:val="0032251B"/>
    <w:rsid w:val="00340098"/>
    <w:rsid w:val="00351702"/>
    <w:rsid w:val="0036002C"/>
    <w:rsid w:val="003641D9"/>
    <w:rsid w:val="00364E3B"/>
    <w:rsid w:val="00365191"/>
    <w:rsid w:val="003669B9"/>
    <w:rsid w:val="00373F5D"/>
    <w:rsid w:val="00375365"/>
    <w:rsid w:val="00375BE5"/>
    <w:rsid w:val="00376FE3"/>
    <w:rsid w:val="0037725C"/>
    <w:rsid w:val="00382345"/>
    <w:rsid w:val="003913BE"/>
    <w:rsid w:val="003918A9"/>
    <w:rsid w:val="003925BA"/>
    <w:rsid w:val="003956C4"/>
    <w:rsid w:val="00395F3C"/>
    <w:rsid w:val="0039701E"/>
    <w:rsid w:val="003A0754"/>
    <w:rsid w:val="003A0AB7"/>
    <w:rsid w:val="003A2EA0"/>
    <w:rsid w:val="003A4EBB"/>
    <w:rsid w:val="003A7381"/>
    <w:rsid w:val="003A7B1B"/>
    <w:rsid w:val="003B0ABF"/>
    <w:rsid w:val="003B3B43"/>
    <w:rsid w:val="003B76D4"/>
    <w:rsid w:val="003B7F40"/>
    <w:rsid w:val="003C48C4"/>
    <w:rsid w:val="003D0674"/>
    <w:rsid w:val="003D1704"/>
    <w:rsid w:val="003D17C0"/>
    <w:rsid w:val="003D49EC"/>
    <w:rsid w:val="003E6561"/>
    <w:rsid w:val="003F36F4"/>
    <w:rsid w:val="003F4E76"/>
    <w:rsid w:val="003F5AF8"/>
    <w:rsid w:val="004104E4"/>
    <w:rsid w:val="0041236B"/>
    <w:rsid w:val="004134A7"/>
    <w:rsid w:val="00414AB0"/>
    <w:rsid w:val="004152D0"/>
    <w:rsid w:val="00416BCB"/>
    <w:rsid w:val="00432AFD"/>
    <w:rsid w:val="00435657"/>
    <w:rsid w:val="00444931"/>
    <w:rsid w:val="00447D22"/>
    <w:rsid w:val="004523C4"/>
    <w:rsid w:val="00456D32"/>
    <w:rsid w:val="004610A0"/>
    <w:rsid w:val="0046683E"/>
    <w:rsid w:val="00470515"/>
    <w:rsid w:val="004738E2"/>
    <w:rsid w:val="00474AB3"/>
    <w:rsid w:val="004801C3"/>
    <w:rsid w:val="00480553"/>
    <w:rsid w:val="00482053"/>
    <w:rsid w:val="00482CC8"/>
    <w:rsid w:val="00486580"/>
    <w:rsid w:val="004902B6"/>
    <w:rsid w:val="00495222"/>
    <w:rsid w:val="00496677"/>
    <w:rsid w:val="004A1634"/>
    <w:rsid w:val="004A377E"/>
    <w:rsid w:val="004A5FC2"/>
    <w:rsid w:val="004A7940"/>
    <w:rsid w:val="004B5B20"/>
    <w:rsid w:val="004B73F3"/>
    <w:rsid w:val="004C1ACF"/>
    <w:rsid w:val="004C4858"/>
    <w:rsid w:val="004C7362"/>
    <w:rsid w:val="004E160C"/>
    <w:rsid w:val="004E2B82"/>
    <w:rsid w:val="004E7CF4"/>
    <w:rsid w:val="004F5541"/>
    <w:rsid w:val="004F6C1D"/>
    <w:rsid w:val="004F7182"/>
    <w:rsid w:val="00501D17"/>
    <w:rsid w:val="005024C7"/>
    <w:rsid w:val="00505091"/>
    <w:rsid w:val="00515342"/>
    <w:rsid w:val="00520C8F"/>
    <w:rsid w:val="00523B41"/>
    <w:rsid w:val="00525535"/>
    <w:rsid w:val="00525DE4"/>
    <w:rsid w:val="00532F41"/>
    <w:rsid w:val="00534FC7"/>
    <w:rsid w:val="00537A39"/>
    <w:rsid w:val="0054101A"/>
    <w:rsid w:val="005424A0"/>
    <w:rsid w:val="005441C8"/>
    <w:rsid w:val="00545757"/>
    <w:rsid w:val="00545F45"/>
    <w:rsid w:val="005504FA"/>
    <w:rsid w:val="00550834"/>
    <w:rsid w:val="00551865"/>
    <w:rsid w:val="005526C0"/>
    <w:rsid w:val="00552953"/>
    <w:rsid w:val="00563111"/>
    <w:rsid w:val="00570724"/>
    <w:rsid w:val="00576C3D"/>
    <w:rsid w:val="0057718C"/>
    <w:rsid w:val="0058419A"/>
    <w:rsid w:val="00584C26"/>
    <w:rsid w:val="00591496"/>
    <w:rsid w:val="00591BB6"/>
    <w:rsid w:val="00593AF4"/>
    <w:rsid w:val="0059460E"/>
    <w:rsid w:val="0059512D"/>
    <w:rsid w:val="00596FD5"/>
    <w:rsid w:val="005A0938"/>
    <w:rsid w:val="005A7194"/>
    <w:rsid w:val="005B0965"/>
    <w:rsid w:val="005B0B3C"/>
    <w:rsid w:val="005B15D1"/>
    <w:rsid w:val="005B2A54"/>
    <w:rsid w:val="005B3C65"/>
    <w:rsid w:val="005B4411"/>
    <w:rsid w:val="005B5FA2"/>
    <w:rsid w:val="005C46FF"/>
    <w:rsid w:val="005C57B1"/>
    <w:rsid w:val="005D021B"/>
    <w:rsid w:val="005D64A8"/>
    <w:rsid w:val="005E124B"/>
    <w:rsid w:val="005E174B"/>
    <w:rsid w:val="005E47E6"/>
    <w:rsid w:val="005E70D9"/>
    <w:rsid w:val="005F3BFE"/>
    <w:rsid w:val="005F6E42"/>
    <w:rsid w:val="00601BF8"/>
    <w:rsid w:val="00605DED"/>
    <w:rsid w:val="0060610D"/>
    <w:rsid w:val="0060782C"/>
    <w:rsid w:val="00607F50"/>
    <w:rsid w:val="006102E2"/>
    <w:rsid w:val="00613C76"/>
    <w:rsid w:val="00614185"/>
    <w:rsid w:val="00620EE6"/>
    <w:rsid w:val="006262CE"/>
    <w:rsid w:val="00627337"/>
    <w:rsid w:val="00627A01"/>
    <w:rsid w:val="006317DF"/>
    <w:rsid w:val="00633AEB"/>
    <w:rsid w:val="006369B9"/>
    <w:rsid w:val="00637772"/>
    <w:rsid w:val="006423F0"/>
    <w:rsid w:val="0064649D"/>
    <w:rsid w:val="00655DB1"/>
    <w:rsid w:val="00656C03"/>
    <w:rsid w:val="00657A38"/>
    <w:rsid w:val="006631B8"/>
    <w:rsid w:val="00664F6F"/>
    <w:rsid w:val="006651FD"/>
    <w:rsid w:val="00671AF7"/>
    <w:rsid w:val="00674AC1"/>
    <w:rsid w:val="0067656F"/>
    <w:rsid w:val="00677D9E"/>
    <w:rsid w:val="00680A37"/>
    <w:rsid w:val="00695C1B"/>
    <w:rsid w:val="006A0376"/>
    <w:rsid w:val="006A39DD"/>
    <w:rsid w:val="006A76C1"/>
    <w:rsid w:val="006B5EB6"/>
    <w:rsid w:val="006C0B9E"/>
    <w:rsid w:val="006C12F7"/>
    <w:rsid w:val="006C177E"/>
    <w:rsid w:val="006C3325"/>
    <w:rsid w:val="006D00E9"/>
    <w:rsid w:val="006D458D"/>
    <w:rsid w:val="006E3999"/>
    <w:rsid w:val="006E5785"/>
    <w:rsid w:val="007040A1"/>
    <w:rsid w:val="00704946"/>
    <w:rsid w:val="00713235"/>
    <w:rsid w:val="00722C5E"/>
    <w:rsid w:val="00723C2D"/>
    <w:rsid w:val="00727094"/>
    <w:rsid w:val="0073274A"/>
    <w:rsid w:val="0073370B"/>
    <w:rsid w:val="00736C8A"/>
    <w:rsid w:val="00737F4B"/>
    <w:rsid w:val="00740F4F"/>
    <w:rsid w:val="00744230"/>
    <w:rsid w:val="007444C0"/>
    <w:rsid w:val="0074708E"/>
    <w:rsid w:val="00751BB1"/>
    <w:rsid w:val="00752BD6"/>
    <w:rsid w:val="00754747"/>
    <w:rsid w:val="00763BAD"/>
    <w:rsid w:val="00765E68"/>
    <w:rsid w:val="00771511"/>
    <w:rsid w:val="00780BBB"/>
    <w:rsid w:val="00782599"/>
    <w:rsid w:val="00785F46"/>
    <w:rsid w:val="00790095"/>
    <w:rsid w:val="00795299"/>
    <w:rsid w:val="00797785"/>
    <w:rsid w:val="007A3532"/>
    <w:rsid w:val="007B0798"/>
    <w:rsid w:val="007B18D7"/>
    <w:rsid w:val="007C22AF"/>
    <w:rsid w:val="007D0957"/>
    <w:rsid w:val="007D56A7"/>
    <w:rsid w:val="007D5827"/>
    <w:rsid w:val="007D5C35"/>
    <w:rsid w:val="007D6FE2"/>
    <w:rsid w:val="007E0622"/>
    <w:rsid w:val="007E2570"/>
    <w:rsid w:val="007F015F"/>
    <w:rsid w:val="007F65E8"/>
    <w:rsid w:val="00800DAF"/>
    <w:rsid w:val="0080241E"/>
    <w:rsid w:val="00802B11"/>
    <w:rsid w:val="00815580"/>
    <w:rsid w:val="008177C0"/>
    <w:rsid w:val="0082348D"/>
    <w:rsid w:val="00825600"/>
    <w:rsid w:val="0083369E"/>
    <w:rsid w:val="00833E9C"/>
    <w:rsid w:val="00833FED"/>
    <w:rsid w:val="00834433"/>
    <w:rsid w:val="00843C6A"/>
    <w:rsid w:val="008510D6"/>
    <w:rsid w:val="0085355C"/>
    <w:rsid w:val="00854577"/>
    <w:rsid w:val="00854DE2"/>
    <w:rsid w:val="00855CDB"/>
    <w:rsid w:val="00860197"/>
    <w:rsid w:val="00866A50"/>
    <w:rsid w:val="00870FF8"/>
    <w:rsid w:val="0087667D"/>
    <w:rsid w:val="00882A64"/>
    <w:rsid w:val="008912DE"/>
    <w:rsid w:val="0089481C"/>
    <w:rsid w:val="00895B1A"/>
    <w:rsid w:val="008A0597"/>
    <w:rsid w:val="008A2339"/>
    <w:rsid w:val="008A4096"/>
    <w:rsid w:val="008A4175"/>
    <w:rsid w:val="008A7C66"/>
    <w:rsid w:val="008B2B91"/>
    <w:rsid w:val="008B6745"/>
    <w:rsid w:val="008C528C"/>
    <w:rsid w:val="008D31C5"/>
    <w:rsid w:val="008D6490"/>
    <w:rsid w:val="008E39D1"/>
    <w:rsid w:val="008E3D53"/>
    <w:rsid w:val="008E6879"/>
    <w:rsid w:val="00900069"/>
    <w:rsid w:val="0090180C"/>
    <w:rsid w:val="0090285E"/>
    <w:rsid w:val="00902B64"/>
    <w:rsid w:val="00910964"/>
    <w:rsid w:val="00911EA3"/>
    <w:rsid w:val="009139D8"/>
    <w:rsid w:val="00916C2B"/>
    <w:rsid w:val="00921664"/>
    <w:rsid w:val="009231B1"/>
    <w:rsid w:val="00930894"/>
    <w:rsid w:val="009359A6"/>
    <w:rsid w:val="00947322"/>
    <w:rsid w:val="00947E25"/>
    <w:rsid w:val="0096312E"/>
    <w:rsid w:val="00967198"/>
    <w:rsid w:val="00972AB2"/>
    <w:rsid w:val="00974A8A"/>
    <w:rsid w:val="00985609"/>
    <w:rsid w:val="009926B9"/>
    <w:rsid w:val="00992C16"/>
    <w:rsid w:val="00994A1C"/>
    <w:rsid w:val="00997430"/>
    <w:rsid w:val="00997748"/>
    <w:rsid w:val="009A1698"/>
    <w:rsid w:val="009A4575"/>
    <w:rsid w:val="009B29DB"/>
    <w:rsid w:val="009B38B0"/>
    <w:rsid w:val="009C04AD"/>
    <w:rsid w:val="009C34D9"/>
    <w:rsid w:val="009C36CE"/>
    <w:rsid w:val="009C4FA9"/>
    <w:rsid w:val="009D0FAB"/>
    <w:rsid w:val="009D1EF6"/>
    <w:rsid w:val="009D287A"/>
    <w:rsid w:val="009D643F"/>
    <w:rsid w:val="009D65AC"/>
    <w:rsid w:val="009D7D84"/>
    <w:rsid w:val="009E1576"/>
    <w:rsid w:val="009E6757"/>
    <w:rsid w:val="009F2B97"/>
    <w:rsid w:val="009F4548"/>
    <w:rsid w:val="009F7D83"/>
    <w:rsid w:val="00A063D7"/>
    <w:rsid w:val="00A14A8C"/>
    <w:rsid w:val="00A17AD2"/>
    <w:rsid w:val="00A17C4D"/>
    <w:rsid w:val="00A22127"/>
    <w:rsid w:val="00A237D1"/>
    <w:rsid w:val="00A24F36"/>
    <w:rsid w:val="00A335D2"/>
    <w:rsid w:val="00A365E0"/>
    <w:rsid w:val="00A408C2"/>
    <w:rsid w:val="00A443CA"/>
    <w:rsid w:val="00A455B9"/>
    <w:rsid w:val="00A600F8"/>
    <w:rsid w:val="00A61863"/>
    <w:rsid w:val="00A6248B"/>
    <w:rsid w:val="00A62D9B"/>
    <w:rsid w:val="00A65B58"/>
    <w:rsid w:val="00A6604C"/>
    <w:rsid w:val="00A66B9A"/>
    <w:rsid w:val="00A757E3"/>
    <w:rsid w:val="00A758CC"/>
    <w:rsid w:val="00A80BE8"/>
    <w:rsid w:val="00A81DF1"/>
    <w:rsid w:val="00A82A32"/>
    <w:rsid w:val="00A85DC6"/>
    <w:rsid w:val="00A8607C"/>
    <w:rsid w:val="00A93010"/>
    <w:rsid w:val="00A979BA"/>
    <w:rsid w:val="00AA0C30"/>
    <w:rsid w:val="00AA366D"/>
    <w:rsid w:val="00AA6BDE"/>
    <w:rsid w:val="00AB06CB"/>
    <w:rsid w:val="00AB0724"/>
    <w:rsid w:val="00AC127D"/>
    <w:rsid w:val="00AC16E7"/>
    <w:rsid w:val="00AC72C5"/>
    <w:rsid w:val="00AD3BC5"/>
    <w:rsid w:val="00AE3C84"/>
    <w:rsid w:val="00AF08EE"/>
    <w:rsid w:val="00AF1008"/>
    <w:rsid w:val="00AF30C2"/>
    <w:rsid w:val="00AF3466"/>
    <w:rsid w:val="00AF5B6E"/>
    <w:rsid w:val="00AF653F"/>
    <w:rsid w:val="00AF7A3F"/>
    <w:rsid w:val="00B06B7B"/>
    <w:rsid w:val="00B25882"/>
    <w:rsid w:val="00B34066"/>
    <w:rsid w:val="00B400E2"/>
    <w:rsid w:val="00B45239"/>
    <w:rsid w:val="00B47BA9"/>
    <w:rsid w:val="00B47EEE"/>
    <w:rsid w:val="00B51CED"/>
    <w:rsid w:val="00B52184"/>
    <w:rsid w:val="00B61D15"/>
    <w:rsid w:val="00B75A76"/>
    <w:rsid w:val="00B80949"/>
    <w:rsid w:val="00B83615"/>
    <w:rsid w:val="00B8471B"/>
    <w:rsid w:val="00B85A24"/>
    <w:rsid w:val="00B86D51"/>
    <w:rsid w:val="00B87305"/>
    <w:rsid w:val="00B90C39"/>
    <w:rsid w:val="00B9154E"/>
    <w:rsid w:val="00B92FEC"/>
    <w:rsid w:val="00B93E5B"/>
    <w:rsid w:val="00B96294"/>
    <w:rsid w:val="00B974F9"/>
    <w:rsid w:val="00BA1D0C"/>
    <w:rsid w:val="00BA25AA"/>
    <w:rsid w:val="00BA5DAC"/>
    <w:rsid w:val="00BA692B"/>
    <w:rsid w:val="00BB111F"/>
    <w:rsid w:val="00BB23F4"/>
    <w:rsid w:val="00BB5C2E"/>
    <w:rsid w:val="00BB615D"/>
    <w:rsid w:val="00BC32F4"/>
    <w:rsid w:val="00BD648C"/>
    <w:rsid w:val="00BE5AB4"/>
    <w:rsid w:val="00BE792D"/>
    <w:rsid w:val="00C0300F"/>
    <w:rsid w:val="00C11CEC"/>
    <w:rsid w:val="00C12412"/>
    <w:rsid w:val="00C12B87"/>
    <w:rsid w:val="00C15D2E"/>
    <w:rsid w:val="00C16F60"/>
    <w:rsid w:val="00C35EE6"/>
    <w:rsid w:val="00C45467"/>
    <w:rsid w:val="00C470C1"/>
    <w:rsid w:val="00C51430"/>
    <w:rsid w:val="00C55371"/>
    <w:rsid w:val="00C5604F"/>
    <w:rsid w:val="00C67D15"/>
    <w:rsid w:val="00C67F95"/>
    <w:rsid w:val="00C74314"/>
    <w:rsid w:val="00C766D3"/>
    <w:rsid w:val="00C77101"/>
    <w:rsid w:val="00C80F71"/>
    <w:rsid w:val="00C8159E"/>
    <w:rsid w:val="00C826CB"/>
    <w:rsid w:val="00C91BC3"/>
    <w:rsid w:val="00C946B9"/>
    <w:rsid w:val="00C94985"/>
    <w:rsid w:val="00C95F34"/>
    <w:rsid w:val="00CA51AF"/>
    <w:rsid w:val="00CA63A6"/>
    <w:rsid w:val="00CB001D"/>
    <w:rsid w:val="00CC3398"/>
    <w:rsid w:val="00CD4D50"/>
    <w:rsid w:val="00CD75B7"/>
    <w:rsid w:val="00CF0E54"/>
    <w:rsid w:val="00CF147B"/>
    <w:rsid w:val="00CF2D10"/>
    <w:rsid w:val="00CF5C83"/>
    <w:rsid w:val="00CF63A4"/>
    <w:rsid w:val="00CF7CBF"/>
    <w:rsid w:val="00D031B1"/>
    <w:rsid w:val="00D050B6"/>
    <w:rsid w:val="00D051C5"/>
    <w:rsid w:val="00D05386"/>
    <w:rsid w:val="00D105F0"/>
    <w:rsid w:val="00D120B3"/>
    <w:rsid w:val="00D13016"/>
    <w:rsid w:val="00D13E8A"/>
    <w:rsid w:val="00D21602"/>
    <w:rsid w:val="00D239ED"/>
    <w:rsid w:val="00D2766B"/>
    <w:rsid w:val="00D370B8"/>
    <w:rsid w:val="00D377F2"/>
    <w:rsid w:val="00D43F5C"/>
    <w:rsid w:val="00D460A9"/>
    <w:rsid w:val="00D46E47"/>
    <w:rsid w:val="00D47164"/>
    <w:rsid w:val="00D5015E"/>
    <w:rsid w:val="00D508B6"/>
    <w:rsid w:val="00D55982"/>
    <w:rsid w:val="00D56A9E"/>
    <w:rsid w:val="00D628FE"/>
    <w:rsid w:val="00D63016"/>
    <w:rsid w:val="00D66258"/>
    <w:rsid w:val="00D710BB"/>
    <w:rsid w:val="00D71110"/>
    <w:rsid w:val="00D843ED"/>
    <w:rsid w:val="00D85B93"/>
    <w:rsid w:val="00D87BC5"/>
    <w:rsid w:val="00D90063"/>
    <w:rsid w:val="00D9170A"/>
    <w:rsid w:val="00D96F96"/>
    <w:rsid w:val="00DA0857"/>
    <w:rsid w:val="00DB1139"/>
    <w:rsid w:val="00DB66C9"/>
    <w:rsid w:val="00DB7BAA"/>
    <w:rsid w:val="00DC22A8"/>
    <w:rsid w:val="00DC2E3C"/>
    <w:rsid w:val="00DC4127"/>
    <w:rsid w:val="00DC58BC"/>
    <w:rsid w:val="00DD3671"/>
    <w:rsid w:val="00DD3CC0"/>
    <w:rsid w:val="00DE0591"/>
    <w:rsid w:val="00DE0AA3"/>
    <w:rsid w:val="00DE150B"/>
    <w:rsid w:val="00DF4053"/>
    <w:rsid w:val="00DF638B"/>
    <w:rsid w:val="00DF7AB4"/>
    <w:rsid w:val="00E00318"/>
    <w:rsid w:val="00E03E4A"/>
    <w:rsid w:val="00E0456F"/>
    <w:rsid w:val="00E24F24"/>
    <w:rsid w:val="00E3509A"/>
    <w:rsid w:val="00E406FB"/>
    <w:rsid w:val="00E47C74"/>
    <w:rsid w:val="00E545EE"/>
    <w:rsid w:val="00E61EEF"/>
    <w:rsid w:val="00E62962"/>
    <w:rsid w:val="00E65C31"/>
    <w:rsid w:val="00E665A1"/>
    <w:rsid w:val="00E71B7C"/>
    <w:rsid w:val="00E721DC"/>
    <w:rsid w:val="00E74592"/>
    <w:rsid w:val="00E75032"/>
    <w:rsid w:val="00E7594E"/>
    <w:rsid w:val="00E7596A"/>
    <w:rsid w:val="00E75B05"/>
    <w:rsid w:val="00E81D44"/>
    <w:rsid w:val="00E83279"/>
    <w:rsid w:val="00E92568"/>
    <w:rsid w:val="00EB3AF9"/>
    <w:rsid w:val="00EB4235"/>
    <w:rsid w:val="00EB5863"/>
    <w:rsid w:val="00EB68BB"/>
    <w:rsid w:val="00EC0BB8"/>
    <w:rsid w:val="00EC3754"/>
    <w:rsid w:val="00EC3CB1"/>
    <w:rsid w:val="00ED2523"/>
    <w:rsid w:val="00ED2DD7"/>
    <w:rsid w:val="00ED733D"/>
    <w:rsid w:val="00EE03DD"/>
    <w:rsid w:val="00EE1AF9"/>
    <w:rsid w:val="00EE5F31"/>
    <w:rsid w:val="00EE6740"/>
    <w:rsid w:val="00EE7883"/>
    <w:rsid w:val="00F12875"/>
    <w:rsid w:val="00F15C41"/>
    <w:rsid w:val="00F25C58"/>
    <w:rsid w:val="00F268F5"/>
    <w:rsid w:val="00F26916"/>
    <w:rsid w:val="00F30302"/>
    <w:rsid w:val="00F30E1F"/>
    <w:rsid w:val="00F31DAC"/>
    <w:rsid w:val="00F35BA1"/>
    <w:rsid w:val="00F365B6"/>
    <w:rsid w:val="00F4139F"/>
    <w:rsid w:val="00F50E39"/>
    <w:rsid w:val="00F53738"/>
    <w:rsid w:val="00F65548"/>
    <w:rsid w:val="00F66EBB"/>
    <w:rsid w:val="00F67E6B"/>
    <w:rsid w:val="00F71A9F"/>
    <w:rsid w:val="00F74263"/>
    <w:rsid w:val="00F80322"/>
    <w:rsid w:val="00F81CD7"/>
    <w:rsid w:val="00F856CC"/>
    <w:rsid w:val="00F87328"/>
    <w:rsid w:val="00F93FBC"/>
    <w:rsid w:val="00F97261"/>
    <w:rsid w:val="00FA074D"/>
    <w:rsid w:val="00FA1CA2"/>
    <w:rsid w:val="00FA1FA7"/>
    <w:rsid w:val="00FA79ED"/>
    <w:rsid w:val="00FB39FB"/>
    <w:rsid w:val="00FB5172"/>
    <w:rsid w:val="00FC1B28"/>
    <w:rsid w:val="00FC2B6E"/>
    <w:rsid w:val="00FC2F69"/>
    <w:rsid w:val="00FC4D6E"/>
    <w:rsid w:val="00FC7B37"/>
    <w:rsid w:val="00FD43EE"/>
    <w:rsid w:val="00FD6629"/>
    <w:rsid w:val="00FD6DA7"/>
    <w:rsid w:val="00FE31E6"/>
    <w:rsid w:val="00FE53EF"/>
    <w:rsid w:val="00FE6CEE"/>
    <w:rsid w:val="00FF6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DA3D"/>
  <w15:chartTrackingRefBased/>
  <w15:docId w15:val="{AD3212C8-EA85-4A21-9AF1-36A2C997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539"/>
  </w:style>
  <w:style w:type="paragraph" w:styleId="Footer">
    <w:name w:val="footer"/>
    <w:basedOn w:val="Normal"/>
    <w:link w:val="FooterChar"/>
    <w:uiPriority w:val="99"/>
    <w:unhideWhenUsed/>
    <w:rsid w:val="00240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539"/>
  </w:style>
  <w:style w:type="character" w:styleId="Hyperlink">
    <w:name w:val="Hyperlink"/>
    <w:basedOn w:val="DefaultParagraphFont"/>
    <w:uiPriority w:val="99"/>
    <w:unhideWhenUsed/>
    <w:rsid w:val="00226781"/>
    <w:rPr>
      <w:color w:val="0563C1" w:themeColor="hyperlink"/>
      <w:u w:val="single"/>
    </w:rPr>
  </w:style>
  <w:style w:type="paragraph" w:styleId="ListParagraph">
    <w:name w:val="List Paragraph"/>
    <w:basedOn w:val="Normal"/>
    <w:uiPriority w:val="34"/>
    <w:qFormat/>
    <w:rsid w:val="00D47164"/>
    <w:pPr>
      <w:ind w:left="720"/>
      <w:contextualSpacing/>
    </w:pPr>
  </w:style>
  <w:style w:type="character" w:styleId="UnresolvedMention">
    <w:name w:val="Unresolved Mention"/>
    <w:basedOn w:val="DefaultParagraphFont"/>
    <w:uiPriority w:val="99"/>
    <w:semiHidden/>
    <w:unhideWhenUsed/>
    <w:rsid w:val="00121827"/>
    <w:rPr>
      <w:color w:val="605E5C"/>
      <w:shd w:val="clear" w:color="auto" w:fill="E1DFDD"/>
    </w:rPr>
  </w:style>
  <w:style w:type="paragraph" w:styleId="FootnoteText">
    <w:name w:val="footnote text"/>
    <w:basedOn w:val="Normal"/>
    <w:link w:val="FootnoteTextChar"/>
    <w:uiPriority w:val="99"/>
    <w:semiHidden/>
    <w:unhideWhenUsed/>
    <w:rsid w:val="000D67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7E4"/>
    <w:rPr>
      <w:sz w:val="20"/>
      <w:szCs w:val="20"/>
    </w:rPr>
  </w:style>
  <w:style w:type="character" w:styleId="FootnoteReference">
    <w:name w:val="footnote reference"/>
    <w:basedOn w:val="DefaultParagraphFont"/>
    <w:uiPriority w:val="99"/>
    <w:unhideWhenUsed/>
    <w:rsid w:val="000D67E4"/>
    <w:rPr>
      <w:vertAlign w:val="superscript"/>
    </w:rPr>
  </w:style>
  <w:style w:type="paragraph" w:styleId="Caption">
    <w:name w:val="caption"/>
    <w:basedOn w:val="Normal"/>
    <w:next w:val="Normal"/>
    <w:uiPriority w:val="35"/>
    <w:unhideWhenUsed/>
    <w:qFormat/>
    <w:rsid w:val="00E83279"/>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B111F"/>
    <w:rPr>
      <w:color w:val="954F72" w:themeColor="followedHyperlink"/>
      <w:u w:val="single"/>
    </w:rPr>
  </w:style>
  <w:style w:type="paragraph" w:styleId="Revision">
    <w:name w:val="Revision"/>
    <w:hidden/>
    <w:uiPriority w:val="99"/>
    <w:semiHidden/>
    <w:rsid w:val="009926B9"/>
    <w:pPr>
      <w:spacing w:after="0" w:line="240" w:lineRule="auto"/>
    </w:pPr>
  </w:style>
  <w:style w:type="character" w:styleId="CommentReference">
    <w:name w:val="annotation reference"/>
    <w:basedOn w:val="DefaultParagraphFont"/>
    <w:uiPriority w:val="99"/>
    <w:semiHidden/>
    <w:unhideWhenUsed/>
    <w:rsid w:val="009926B9"/>
    <w:rPr>
      <w:sz w:val="16"/>
      <w:szCs w:val="16"/>
    </w:rPr>
  </w:style>
  <w:style w:type="paragraph" w:styleId="CommentText">
    <w:name w:val="annotation text"/>
    <w:basedOn w:val="Normal"/>
    <w:link w:val="CommentTextChar"/>
    <w:uiPriority w:val="99"/>
    <w:unhideWhenUsed/>
    <w:rsid w:val="009926B9"/>
    <w:pPr>
      <w:spacing w:line="240" w:lineRule="auto"/>
    </w:pPr>
    <w:rPr>
      <w:sz w:val="20"/>
      <w:szCs w:val="20"/>
    </w:rPr>
  </w:style>
  <w:style w:type="character" w:customStyle="1" w:styleId="CommentTextChar">
    <w:name w:val="Comment Text Char"/>
    <w:basedOn w:val="DefaultParagraphFont"/>
    <w:link w:val="CommentText"/>
    <w:uiPriority w:val="99"/>
    <w:rsid w:val="009926B9"/>
    <w:rPr>
      <w:sz w:val="20"/>
      <w:szCs w:val="20"/>
    </w:rPr>
  </w:style>
  <w:style w:type="paragraph" w:styleId="CommentSubject">
    <w:name w:val="annotation subject"/>
    <w:basedOn w:val="CommentText"/>
    <w:next w:val="CommentText"/>
    <w:link w:val="CommentSubjectChar"/>
    <w:uiPriority w:val="99"/>
    <w:semiHidden/>
    <w:unhideWhenUsed/>
    <w:rsid w:val="009926B9"/>
    <w:rPr>
      <w:b/>
      <w:bCs/>
    </w:rPr>
  </w:style>
  <w:style w:type="character" w:customStyle="1" w:styleId="CommentSubjectChar">
    <w:name w:val="Comment Subject Char"/>
    <w:basedOn w:val="CommentTextChar"/>
    <w:link w:val="CommentSubject"/>
    <w:uiPriority w:val="99"/>
    <w:semiHidden/>
    <w:rsid w:val="009926B9"/>
    <w:rPr>
      <w:b/>
      <w:bCs/>
      <w:sz w:val="20"/>
      <w:szCs w:val="20"/>
    </w:rPr>
  </w:style>
  <w:style w:type="paragraph" w:styleId="NormalWeb">
    <w:name w:val="Normal (Web)"/>
    <w:basedOn w:val="Normal"/>
    <w:uiPriority w:val="99"/>
    <w:semiHidden/>
    <w:unhideWhenUsed/>
    <w:rsid w:val="00CA63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8447">
      <w:bodyDiv w:val="1"/>
      <w:marLeft w:val="0"/>
      <w:marRight w:val="0"/>
      <w:marTop w:val="0"/>
      <w:marBottom w:val="0"/>
      <w:divBdr>
        <w:top w:val="none" w:sz="0" w:space="0" w:color="auto"/>
        <w:left w:val="none" w:sz="0" w:space="0" w:color="auto"/>
        <w:bottom w:val="none" w:sz="0" w:space="0" w:color="auto"/>
        <w:right w:val="none" w:sz="0" w:space="0" w:color="auto"/>
      </w:divBdr>
    </w:div>
    <w:div w:id="587421292">
      <w:bodyDiv w:val="1"/>
      <w:marLeft w:val="0"/>
      <w:marRight w:val="0"/>
      <w:marTop w:val="0"/>
      <w:marBottom w:val="0"/>
      <w:divBdr>
        <w:top w:val="none" w:sz="0" w:space="0" w:color="auto"/>
        <w:left w:val="none" w:sz="0" w:space="0" w:color="auto"/>
        <w:bottom w:val="none" w:sz="0" w:space="0" w:color="auto"/>
        <w:right w:val="none" w:sz="0" w:space="0" w:color="auto"/>
      </w:divBdr>
    </w:div>
    <w:div w:id="1115369510">
      <w:bodyDiv w:val="1"/>
      <w:marLeft w:val="0"/>
      <w:marRight w:val="0"/>
      <w:marTop w:val="0"/>
      <w:marBottom w:val="0"/>
      <w:divBdr>
        <w:top w:val="none" w:sz="0" w:space="0" w:color="auto"/>
        <w:left w:val="none" w:sz="0" w:space="0" w:color="auto"/>
        <w:bottom w:val="none" w:sz="0" w:space="0" w:color="auto"/>
        <w:right w:val="none" w:sz="0" w:space="0" w:color="auto"/>
      </w:divBdr>
    </w:div>
    <w:div w:id="1229997214">
      <w:bodyDiv w:val="1"/>
      <w:marLeft w:val="0"/>
      <w:marRight w:val="0"/>
      <w:marTop w:val="0"/>
      <w:marBottom w:val="0"/>
      <w:divBdr>
        <w:top w:val="none" w:sz="0" w:space="0" w:color="auto"/>
        <w:left w:val="none" w:sz="0" w:space="0" w:color="auto"/>
        <w:bottom w:val="none" w:sz="0" w:space="0" w:color="auto"/>
        <w:right w:val="none" w:sz="0" w:space="0" w:color="auto"/>
      </w:divBdr>
    </w:div>
    <w:div w:id="1682009227">
      <w:bodyDiv w:val="1"/>
      <w:marLeft w:val="0"/>
      <w:marRight w:val="0"/>
      <w:marTop w:val="0"/>
      <w:marBottom w:val="0"/>
      <w:divBdr>
        <w:top w:val="none" w:sz="0" w:space="0" w:color="auto"/>
        <w:left w:val="none" w:sz="0" w:space="0" w:color="auto"/>
        <w:bottom w:val="none" w:sz="0" w:space="0" w:color="auto"/>
        <w:right w:val="none" w:sz="0" w:space="0" w:color="auto"/>
      </w:divBdr>
    </w:div>
    <w:div w:id="18969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markets@dccee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87B2A.2306CA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A1E11612CF340B16C95BCD3006626" ma:contentTypeVersion="18" ma:contentTypeDescription="Create a new document." ma:contentTypeScope="" ma:versionID="e50ab059dd84aa0630207d19aea12d9b">
  <xsd:schema xmlns:xsd="http://www.w3.org/2001/XMLSchema" xmlns:xs="http://www.w3.org/2001/XMLSchema" xmlns:p="http://schemas.microsoft.com/office/2006/metadata/properties" xmlns:ns2="05a78c0f-a504-4649-88c9-b794f6403e85" xmlns:ns3="e809dcb9-122b-4a07-9542-d31a68380e93" targetNamespace="http://schemas.microsoft.com/office/2006/metadata/properties" ma:root="true" ma:fieldsID="fa0df7d2975b122891075fff48fd5a37" ns2:_="" ns3:_="">
    <xsd:import namespace="05a78c0f-a504-4649-88c9-b794f6403e85"/>
    <xsd:import namespace="e809dcb9-122b-4a07-9542-d31a68380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78c0f-a504-4649-88c9-b794f640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d9da494-2820-463f-b5b3-52c4182aea95}" ma:internalName="TaxCatchAll" ma:showField="CatchAllData" ma:web="05a78c0f-a504-4649-88c9-b794f6403e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09dcb9-122b-4a07-9542-d31a68380e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bf22c-45f6-4dbd-b812-cdd956b022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a78c0f-a504-4649-88c9-b794f6403e85" xsi:nil="true"/>
    <lcf76f155ced4ddcb4097134ff3c332f xmlns="e809dcb9-122b-4a07-9542-d31a68380e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882F1-DE72-4638-82FB-9FAF4496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78c0f-a504-4649-88c9-b794f6403e85"/>
    <ds:schemaRef ds:uri="e809dcb9-122b-4a07-9542-d31a6838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E6B88-488B-4E9F-9366-294070EF5E6F}">
  <ds:schemaRefs>
    <ds:schemaRef ds:uri="http://schemas.openxmlformats.org/officeDocument/2006/bibliography"/>
  </ds:schemaRefs>
</ds:datastoreItem>
</file>

<file path=customXml/itemProps3.xml><?xml version="1.0" encoding="utf-8"?>
<ds:datastoreItem xmlns:ds="http://schemas.openxmlformats.org/officeDocument/2006/customXml" ds:itemID="{734B4D7E-0C57-4665-AA9A-EE70B585131B}">
  <ds:schemaRefs>
    <ds:schemaRef ds:uri="http://schemas.microsoft.com/office/2006/metadata/properties"/>
    <ds:schemaRef ds:uri="http://schemas.microsoft.com/office/infopath/2007/PartnerControls"/>
    <ds:schemaRef ds:uri="05a78c0f-a504-4649-88c9-b794f6403e85"/>
    <ds:schemaRef ds:uri="e809dcb9-122b-4a07-9542-d31a68380e93"/>
  </ds:schemaRefs>
</ds:datastoreItem>
</file>

<file path=customXml/itemProps4.xml><?xml version="1.0" encoding="utf-8"?>
<ds:datastoreItem xmlns:ds="http://schemas.openxmlformats.org/officeDocument/2006/customXml" ds:itemID="{E11FFC6D-DB4C-4B66-9794-D70AF4516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Links>
    <vt:vector size="6" baseType="variant">
      <vt:variant>
        <vt:i4>3801154</vt:i4>
      </vt:variant>
      <vt:variant>
        <vt:i4>0</vt:i4>
      </vt:variant>
      <vt:variant>
        <vt:i4>0</vt:i4>
      </vt:variant>
      <vt:variant>
        <vt:i4>5</vt:i4>
      </vt:variant>
      <vt:variant>
        <vt:lpwstr>mailto:Tanya.Plibersek.MP@aph.gov.au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Jeffrey</dc:creator>
  <cp:keywords/>
  <dc:description/>
  <cp:lastModifiedBy>Zara Lowien</cp:lastModifiedBy>
  <cp:revision>118</cp:revision>
  <dcterms:created xsi:type="dcterms:W3CDTF">2024-11-27T04:47:00Z</dcterms:created>
  <dcterms:modified xsi:type="dcterms:W3CDTF">2024-12-08T23:35:00Z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0x010100585A1E11612CF340B16C95BCD3006626</vt:lpwstr>
  </property>
  <property fmtid="{D5CDD505-2E9C-101B-9397-08002B2CF9AE}" pid="3" name="MediaServiceImageTags">
    <vt:lpwstr/>
  </property>
</Properties>
</file>